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DAE84">
      <w:pPr>
        <w:jc w:val="center"/>
        <w:rPr>
          <w:rFonts w:hint="eastAsia" w:asciiTheme="minorEastAsia" w:hAnsiTheme="minorEastAsia"/>
          <w:b/>
          <w:bCs/>
          <w:sz w:val="44"/>
          <w:szCs w:val="44"/>
        </w:rPr>
      </w:pPr>
      <w:r>
        <w:rPr>
          <w:rFonts w:hint="eastAsia" w:asciiTheme="minorEastAsia" w:hAnsiTheme="minorEastAsia"/>
          <w:b/>
          <w:bCs/>
          <w:sz w:val="44"/>
          <w:szCs w:val="44"/>
        </w:rPr>
        <w:t>蚌埠第二中学2025年电梯维保项目维保服务要求</w:t>
      </w:r>
    </w:p>
    <w:p w14:paraId="5682A1A8">
      <w:pPr>
        <w:rPr>
          <w:b/>
          <w:bCs/>
        </w:rPr>
      </w:pPr>
      <w:r>
        <w:rPr>
          <w:rFonts w:hint="eastAsia"/>
          <w:b/>
          <w:bCs/>
        </w:rPr>
        <w:t>一、电梯基本情况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1239"/>
        <w:gridCol w:w="2304"/>
        <w:gridCol w:w="993"/>
        <w:gridCol w:w="1417"/>
      </w:tblGrid>
      <w:tr w14:paraId="03C7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14:paraId="35CA1A9D">
            <w:pPr>
              <w:jc w:val="center"/>
              <w:rPr>
                <w:b/>
                <w:bCs/>
              </w:rPr>
            </w:pPr>
            <w:r>
              <w:rPr>
                <w:rFonts w:hint="eastAsia"/>
                <w:b/>
                <w:bCs/>
              </w:rPr>
              <w:t>序号</w:t>
            </w:r>
          </w:p>
        </w:tc>
        <w:tc>
          <w:tcPr>
            <w:tcW w:w="1276" w:type="dxa"/>
          </w:tcPr>
          <w:p w14:paraId="256BC696">
            <w:pPr>
              <w:jc w:val="center"/>
              <w:rPr>
                <w:b/>
                <w:bCs/>
              </w:rPr>
            </w:pPr>
            <w:r>
              <w:rPr>
                <w:rFonts w:hint="eastAsia"/>
                <w:b/>
                <w:bCs/>
              </w:rPr>
              <w:t>装机年限</w:t>
            </w:r>
          </w:p>
        </w:tc>
        <w:tc>
          <w:tcPr>
            <w:tcW w:w="1239" w:type="dxa"/>
          </w:tcPr>
          <w:p w14:paraId="32AE4242">
            <w:pPr>
              <w:jc w:val="center"/>
              <w:rPr>
                <w:b/>
                <w:bCs/>
              </w:rPr>
            </w:pPr>
            <w:r>
              <w:rPr>
                <w:rFonts w:hint="eastAsia"/>
                <w:b/>
                <w:bCs/>
              </w:rPr>
              <w:t>使用年限</w:t>
            </w:r>
          </w:p>
        </w:tc>
        <w:tc>
          <w:tcPr>
            <w:tcW w:w="2304" w:type="dxa"/>
          </w:tcPr>
          <w:p w14:paraId="6230A8AE">
            <w:pPr>
              <w:jc w:val="center"/>
              <w:rPr>
                <w:b/>
                <w:bCs/>
              </w:rPr>
            </w:pPr>
            <w:r>
              <w:rPr>
                <w:rFonts w:hint="eastAsia"/>
                <w:b/>
                <w:bCs/>
              </w:rPr>
              <w:t>品牌型号</w:t>
            </w:r>
          </w:p>
        </w:tc>
        <w:tc>
          <w:tcPr>
            <w:tcW w:w="993" w:type="dxa"/>
          </w:tcPr>
          <w:p w14:paraId="7FC3F8B8">
            <w:pPr>
              <w:jc w:val="center"/>
              <w:rPr>
                <w:b/>
                <w:bCs/>
              </w:rPr>
            </w:pPr>
            <w:r>
              <w:rPr>
                <w:rFonts w:hint="eastAsia"/>
                <w:b/>
                <w:bCs/>
              </w:rPr>
              <w:t>层数</w:t>
            </w:r>
          </w:p>
        </w:tc>
        <w:tc>
          <w:tcPr>
            <w:tcW w:w="1417" w:type="dxa"/>
          </w:tcPr>
          <w:p w14:paraId="1C299F0F">
            <w:pPr>
              <w:jc w:val="center"/>
              <w:rPr>
                <w:b/>
                <w:bCs/>
              </w:rPr>
            </w:pPr>
            <w:r>
              <w:rPr>
                <w:rFonts w:hint="eastAsia"/>
                <w:b/>
                <w:bCs/>
              </w:rPr>
              <w:t>坐落位置</w:t>
            </w:r>
          </w:p>
        </w:tc>
      </w:tr>
      <w:tr w14:paraId="48BD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3C866AA">
            <w:pPr>
              <w:jc w:val="center"/>
              <w:rPr>
                <w:rFonts w:hint="eastAsia" w:asciiTheme="minorEastAsia" w:hAnsiTheme="minorEastAsia"/>
              </w:rPr>
            </w:pPr>
            <w:r>
              <w:rPr>
                <w:rFonts w:hint="eastAsia" w:asciiTheme="minorEastAsia" w:hAnsiTheme="minorEastAsia"/>
              </w:rPr>
              <w:t>1</w:t>
            </w:r>
          </w:p>
        </w:tc>
        <w:tc>
          <w:tcPr>
            <w:tcW w:w="1276" w:type="dxa"/>
          </w:tcPr>
          <w:p w14:paraId="5A173C48">
            <w:pPr>
              <w:jc w:val="center"/>
              <w:rPr>
                <w:rFonts w:hint="default" w:eastAsiaTheme="minorEastAsia"/>
                <w:lang w:val="en-US" w:eastAsia="zh-CN"/>
              </w:rPr>
            </w:pPr>
            <w:r>
              <w:rPr>
                <w:rFonts w:hint="eastAsia"/>
                <w:lang w:val="en-US" w:eastAsia="zh-CN"/>
              </w:rPr>
              <w:t>2013.09</w:t>
            </w:r>
          </w:p>
        </w:tc>
        <w:tc>
          <w:tcPr>
            <w:tcW w:w="1239" w:type="dxa"/>
          </w:tcPr>
          <w:p w14:paraId="48707CA8">
            <w:pPr>
              <w:jc w:val="center"/>
              <w:rPr>
                <w:rFonts w:hint="default" w:eastAsiaTheme="minorEastAsia"/>
                <w:lang w:val="en-US" w:eastAsia="zh-CN"/>
              </w:rPr>
            </w:pPr>
            <w:r>
              <w:rPr>
                <w:rFonts w:hint="eastAsia"/>
                <w:lang w:val="en-US" w:eastAsia="zh-CN"/>
              </w:rPr>
              <w:t>14年</w:t>
            </w:r>
          </w:p>
        </w:tc>
        <w:tc>
          <w:tcPr>
            <w:tcW w:w="2304" w:type="dxa"/>
          </w:tcPr>
          <w:p w14:paraId="1E6B2574">
            <w:pPr>
              <w:jc w:val="center"/>
              <w:rPr>
                <w:rFonts w:hint="eastAsia" w:eastAsia="宋体"/>
                <w:lang w:eastAsia="zh-CN"/>
              </w:rPr>
            </w:pPr>
            <w:r>
              <w:rPr>
                <w:rFonts w:ascii="Arial" w:hAnsi="Arial" w:eastAsia="Arial" w:cs="Arial"/>
                <w:i w:val="0"/>
                <w:iCs w:val="0"/>
                <w:caps w:val="0"/>
                <w:color w:val="141414"/>
                <w:spacing w:val="0"/>
                <w:sz w:val="19"/>
                <w:szCs w:val="19"/>
                <w:shd w:val="clear" w:fill="FFFFFF"/>
              </w:rPr>
              <w:t>KONE MiniSpace</w:t>
            </w:r>
            <w:r>
              <w:rPr>
                <w:rFonts w:hint="eastAsia" w:ascii="Arial" w:hAnsi="Arial" w:eastAsia="宋体" w:cs="Arial"/>
                <w:i w:val="0"/>
                <w:iCs w:val="0"/>
                <w:caps w:val="0"/>
                <w:color w:val="141414"/>
                <w:spacing w:val="0"/>
                <w:sz w:val="19"/>
                <w:szCs w:val="19"/>
                <w:shd w:val="clear" w:fill="FFFFFF"/>
                <w:lang w:val="en-US" w:eastAsia="zh-CN"/>
              </w:rPr>
              <w:t>(</w:t>
            </w:r>
            <w:r>
              <w:rPr>
                <w:rFonts w:hint="default" w:ascii="Arial" w:hAnsi="Arial" w:eastAsia="Arial" w:cs="Arial"/>
                <w:i w:val="0"/>
                <w:iCs w:val="0"/>
                <w:caps w:val="0"/>
                <w:color w:val="141414"/>
                <w:spacing w:val="0"/>
                <w:sz w:val="19"/>
                <w:szCs w:val="19"/>
                <w:shd w:val="clear" w:fill="FFFFFF"/>
              </w:rPr>
              <w:t> </w:t>
            </w:r>
            <w:r>
              <w:rPr>
                <w:rFonts w:hint="eastAsia" w:ascii="Arial" w:hAnsi="Arial" w:eastAsia="宋体" w:cs="Arial"/>
                <w:i w:val="0"/>
                <w:iCs w:val="0"/>
                <w:caps w:val="0"/>
                <w:color w:val="141414"/>
                <w:spacing w:val="0"/>
                <w:sz w:val="19"/>
                <w:szCs w:val="19"/>
                <w:shd w:val="clear" w:fill="FFFFFF"/>
                <w:lang w:eastAsia="zh-CN"/>
              </w:rPr>
              <w:t>通力）</w:t>
            </w:r>
          </w:p>
        </w:tc>
        <w:tc>
          <w:tcPr>
            <w:tcW w:w="993" w:type="dxa"/>
          </w:tcPr>
          <w:p w14:paraId="0F88A69D">
            <w:pPr>
              <w:jc w:val="center"/>
              <w:rPr>
                <w:rFonts w:hint="eastAsia" w:eastAsiaTheme="minorEastAsia"/>
                <w:lang w:val="en-US" w:eastAsia="zh-CN"/>
              </w:rPr>
            </w:pPr>
            <w:r>
              <w:rPr>
                <w:rFonts w:hint="eastAsia"/>
                <w:lang w:val="en-US" w:eastAsia="zh-CN"/>
              </w:rPr>
              <w:t>2层</w:t>
            </w:r>
          </w:p>
        </w:tc>
        <w:tc>
          <w:tcPr>
            <w:tcW w:w="1417" w:type="dxa"/>
          </w:tcPr>
          <w:p w14:paraId="086C95DA">
            <w:pPr>
              <w:jc w:val="center"/>
            </w:pPr>
            <w:r>
              <w:rPr>
                <w:rFonts w:hint="eastAsia"/>
              </w:rPr>
              <w:t>食堂（货梯）</w:t>
            </w:r>
          </w:p>
        </w:tc>
      </w:tr>
      <w:tr w14:paraId="1F1B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357E659">
            <w:pPr>
              <w:jc w:val="center"/>
              <w:rPr>
                <w:rFonts w:hint="eastAsia" w:asciiTheme="minorEastAsia" w:hAnsiTheme="minorEastAsia"/>
              </w:rPr>
            </w:pPr>
            <w:r>
              <w:rPr>
                <w:rFonts w:hint="eastAsia" w:asciiTheme="minorEastAsia" w:hAnsiTheme="minorEastAsia"/>
              </w:rPr>
              <w:t>2</w:t>
            </w:r>
          </w:p>
        </w:tc>
        <w:tc>
          <w:tcPr>
            <w:tcW w:w="1276" w:type="dxa"/>
          </w:tcPr>
          <w:p w14:paraId="2E2C9CFB">
            <w:pPr>
              <w:jc w:val="center"/>
            </w:pPr>
            <w:r>
              <w:rPr>
                <w:rFonts w:hint="eastAsia"/>
                <w:lang w:val="en-US" w:eastAsia="zh-CN"/>
              </w:rPr>
              <w:t>2013.09</w:t>
            </w:r>
          </w:p>
        </w:tc>
        <w:tc>
          <w:tcPr>
            <w:tcW w:w="1239" w:type="dxa"/>
          </w:tcPr>
          <w:p w14:paraId="008F08F4">
            <w:pPr>
              <w:jc w:val="center"/>
            </w:pPr>
            <w:r>
              <w:rPr>
                <w:rFonts w:hint="eastAsia"/>
                <w:lang w:val="en-US" w:eastAsia="zh-CN"/>
              </w:rPr>
              <w:t>14年</w:t>
            </w:r>
          </w:p>
        </w:tc>
        <w:tc>
          <w:tcPr>
            <w:tcW w:w="2304" w:type="dxa"/>
          </w:tcPr>
          <w:p w14:paraId="0A571BDC">
            <w:pPr>
              <w:jc w:val="center"/>
            </w:pPr>
            <w:r>
              <w:rPr>
                <w:rFonts w:ascii="Arial" w:hAnsi="Arial" w:eastAsia="Arial" w:cs="Arial"/>
                <w:i w:val="0"/>
                <w:iCs w:val="0"/>
                <w:caps w:val="0"/>
                <w:color w:val="141414"/>
                <w:spacing w:val="0"/>
                <w:sz w:val="19"/>
                <w:szCs w:val="19"/>
                <w:shd w:val="clear" w:fill="FFFFFF"/>
              </w:rPr>
              <w:t>KONE MiniSpace</w:t>
            </w:r>
            <w:r>
              <w:rPr>
                <w:rFonts w:hint="eastAsia" w:ascii="Arial" w:hAnsi="Arial" w:eastAsia="宋体" w:cs="Arial"/>
                <w:i w:val="0"/>
                <w:iCs w:val="0"/>
                <w:caps w:val="0"/>
                <w:color w:val="141414"/>
                <w:spacing w:val="0"/>
                <w:sz w:val="19"/>
                <w:szCs w:val="19"/>
                <w:shd w:val="clear" w:fill="FFFFFF"/>
                <w:lang w:val="en-US" w:eastAsia="zh-CN"/>
              </w:rPr>
              <w:t>(</w:t>
            </w:r>
            <w:r>
              <w:rPr>
                <w:rFonts w:hint="default" w:ascii="Arial" w:hAnsi="Arial" w:eastAsia="Arial" w:cs="Arial"/>
                <w:i w:val="0"/>
                <w:iCs w:val="0"/>
                <w:caps w:val="0"/>
                <w:color w:val="141414"/>
                <w:spacing w:val="0"/>
                <w:sz w:val="19"/>
                <w:szCs w:val="19"/>
                <w:shd w:val="clear" w:fill="FFFFFF"/>
              </w:rPr>
              <w:t> </w:t>
            </w:r>
            <w:r>
              <w:rPr>
                <w:rFonts w:hint="eastAsia" w:ascii="Arial" w:hAnsi="Arial" w:eastAsia="宋体" w:cs="Arial"/>
                <w:i w:val="0"/>
                <w:iCs w:val="0"/>
                <w:caps w:val="0"/>
                <w:color w:val="141414"/>
                <w:spacing w:val="0"/>
                <w:sz w:val="19"/>
                <w:szCs w:val="19"/>
                <w:shd w:val="clear" w:fill="FFFFFF"/>
                <w:lang w:eastAsia="zh-CN"/>
              </w:rPr>
              <w:t>通力）</w:t>
            </w:r>
          </w:p>
        </w:tc>
        <w:tc>
          <w:tcPr>
            <w:tcW w:w="993" w:type="dxa"/>
          </w:tcPr>
          <w:p w14:paraId="4AD488A3">
            <w:pPr>
              <w:jc w:val="center"/>
              <w:rPr>
                <w:rFonts w:hint="eastAsia" w:eastAsiaTheme="minorEastAsia"/>
                <w:lang w:val="en-US" w:eastAsia="zh-CN"/>
              </w:rPr>
            </w:pPr>
            <w:r>
              <w:rPr>
                <w:rFonts w:hint="eastAsia"/>
                <w:lang w:val="en-US" w:eastAsia="zh-CN"/>
              </w:rPr>
              <w:t>5层</w:t>
            </w:r>
            <w:bookmarkStart w:id="0" w:name="_GoBack"/>
            <w:bookmarkEnd w:id="0"/>
          </w:p>
        </w:tc>
        <w:tc>
          <w:tcPr>
            <w:tcW w:w="1417" w:type="dxa"/>
          </w:tcPr>
          <w:p w14:paraId="568A9FA8">
            <w:pPr>
              <w:jc w:val="center"/>
            </w:pPr>
            <w:r>
              <w:rPr>
                <w:rFonts w:hint="eastAsia" w:ascii="宋体" w:hAnsi="宋体" w:eastAsia="宋体" w:cs="宋体"/>
              </w:rPr>
              <w:t>格致楼</w:t>
            </w:r>
          </w:p>
        </w:tc>
      </w:tr>
      <w:tr w14:paraId="15BB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8BA5E4F">
            <w:pPr>
              <w:jc w:val="center"/>
              <w:rPr>
                <w:rFonts w:hint="eastAsia" w:asciiTheme="minorEastAsia" w:hAnsiTheme="minorEastAsia"/>
              </w:rPr>
            </w:pPr>
            <w:r>
              <w:rPr>
                <w:rFonts w:hint="eastAsia" w:asciiTheme="minorEastAsia" w:hAnsiTheme="minorEastAsia"/>
              </w:rPr>
              <w:t>3</w:t>
            </w:r>
          </w:p>
        </w:tc>
        <w:tc>
          <w:tcPr>
            <w:tcW w:w="1276" w:type="dxa"/>
          </w:tcPr>
          <w:p w14:paraId="20C107EB">
            <w:pPr>
              <w:jc w:val="center"/>
            </w:pPr>
            <w:r>
              <w:rPr>
                <w:rFonts w:hint="eastAsia"/>
                <w:lang w:val="en-US" w:eastAsia="zh-CN"/>
              </w:rPr>
              <w:t>2013.09</w:t>
            </w:r>
          </w:p>
        </w:tc>
        <w:tc>
          <w:tcPr>
            <w:tcW w:w="1239" w:type="dxa"/>
          </w:tcPr>
          <w:p w14:paraId="285988BB">
            <w:pPr>
              <w:jc w:val="center"/>
            </w:pPr>
            <w:r>
              <w:rPr>
                <w:rFonts w:hint="eastAsia"/>
                <w:lang w:val="en-US" w:eastAsia="zh-CN"/>
              </w:rPr>
              <w:t>14年</w:t>
            </w:r>
          </w:p>
        </w:tc>
        <w:tc>
          <w:tcPr>
            <w:tcW w:w="2304" w:type="dxa"/>
          </w:tcPr>
          <w:p w14:paraId="0DDF36EB">
            <w:pPr>
              <w:jc w:val="center"/>
            </w:pPr>
            <w:r>
              <w:rPr>
                <w:rFonts w:ascii="Arial" w:hAnsi="Arial" w:eastAsia="Arial" w:cs="Arial"/>
                <w:i w:val="0"/>
                <w:iCs w:val="0"/>
                <w:caps w:val="0"/>
                <w:color w:val="141414"/>
                <w:spacing w:val="0"/>
                <w:sz w:val="19"/>
                <w:szCs w:val="19"/>
                <w:shd w:val="clear" w:fill="FFFFFF"/>
              </w:rPr>
              <w:t>KONE MiniSpace</w:t>
            </w:r>
            <w:r>
              <w:rPr>
                <w:rFonts w:hint="eastAsia" w:ascii="Arial" w:hAnsi="Arial" w:eastAsia="宋体" w:cs="Arial"/>
                <w:i w:val="0"/>
                <w:iCs w:val="0"/>
                <w:caps w:val="0"/>
                <w:color w:val="141414"/>
                <w:spacing w:val="0"/>
                <w:sz w:val="19"/>
                <w:szCs w:val="19"/>
                <w:shd w:val="clear" w:fill="FFFFFF"/>
                <w:lang w:val="en-US" w:eastAsia="zh-CN"/>
              </w:rPr>
              <w:t>(</w:t>
            </w:r>
            <w:r>
              <w:rPr>
                <w:rFonts w:hint="default" w:ascii="Arial" w:hAnsi="Arial" w:eastAsia="Arial" w:cs="Arial"/>
                <w:i w:val="0"/>
                <w:iCs w:val="0"/>
                <w:caps w:val="0"/>
                <w:color w:val="141414"/>
                <w:spacing w:val="0"/>
                <w:sz w:val="19"/>
                <w:szCs w:val="19"/>
                <w:shd w:val="clear" w:fill="FFFFFF"/>
              </w:rPr>
              <w:t> </w:t>
            </w:r>
            <w:r>
              <w:rPr>
                <w:rFonts w:hint="eastAsia" w:ascii="Arial" w:hAnsi="Arial" w:eastAsia="宋体" w:cs="Arial"/>
                <w:i w:val="0"/>
                <w:iCs w:val="0"/>
                <w:caps w:val="0"/>
                <w:color w:val="141414"/>
                <w:spacing w:val="0"/>
                <w:sz w:val="19"/>
                <w:szCs w:val="19"/>
                <w:shd w:val="clear" w:fill="FFFFFF"/>
                <w:lang w:eastAsia="zh-CN"/>
              </w:rPr>
              <w:t>通力）</w:t>
            </w:r>
          </w:p>
        </w:tc>
        <w:tc>
          <w:tcPr>
            <w:tcW w:w="993" w:type="dxa"/>
          </w:tcPr>
          <w:p w14:paraId="474A85B3">
            <w:pPr>
              <w:jc w:val="center"/>
              <w:rPr>
                <w:rFonts w:hint="eastAsia" w:eastAsiaTheme="minorEastAsia"/>
                <w:lang w:val="en-US" w:eastAsia="zh-CN"/>
              </w:rPr>
            </w:pPr>
            <w:r>
              <w:rPr>
                <w:rFonts w:hint="eastAsia"/>
                <w:lang w:val="en-US" w:eastAsia="zh-CN"/>
              </w:rPr>
              <w:t>5层</w:t>
            </w:r>
          </w:p>
        </w:tc>
        <w:tc>
          <w:tcPr>
            <w:tcW w:w="1417" w:type="dxa"/>
          </w:tcPr>
          <w:p w14:paraId="10F803F0">
            <w:pPr>
              <w:jc w:val="center"/>
            </w:pPr>
            <w:r>
              <w:rPr>
                <w:rFonts w:hint="eastAsia" w:ascii="宋体" w:hAnsi="宋体" w:eastAsia="宋体" w:cs="宋体"/>
              </w:rPr>
              <w:t>清雅楼</w:t>
            </w:r>
          </w:p>
        </w:tc>
      </w:tr>
      <w:tr w14:paraId="761A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1C772AB">
            <w:pPr>
              <w:jc w:val="center"/>
              <w:rPr>
                <w:rFonts w:hint="eastAsia" w:asciiTheme="minorEastAsia" w:hAnsiTheme="minorEastAsia"/>
              </w:rPr>
            </w:pPr>
            <w:r>
              <w:rPr>
                <w:rFonts w:hint="eastAsia" w:asciiTheme="minorEastAsia" w:hAnsiTheme="minorEastAsia"/>
              </w:rPr>
              <w:t>4</w:t>
            </w:r>
          </w:p>
        </w:tc>
        <w:tc>
          <w:tcPr>
            <w:tcW w:w="1276" w:type="dxa"/>
          </w:tcPr>
          <w:p w14:paraId="4B86CC96">
            <w:pPr>
              <w:jc w:val="center"/>
            </w:pPr>
            <w:r>
              <w:rPr>
                <w:rFonts w:hint="eastAsia"/>
                <w:lang w:val="en-US" w:eastAsia="zh-CN"/>
              </w:rPr>
              <w:t>2013.09</w:t>
            </w:r>
          </w:p>
        </w:tc>
        <w:tc>
          <w:tcPr>
            <w:tcW w:w="1239" w:type="dxa"/>
          </w:tcPr>
          <w:p w14:paraId="0D636565">
            <w:pPr>
              <w:jc w:val="center"/>
            </w:pPr>
            <w:r>
              <w:rPr>
                <w:rFonts w:hint="eastAsia"/>
                <w:lang w:val="en-US" w:eastAsia="zh-CN"/>
              </w:rPr>
              <w:t>14年</w:t>
            </w:r>
          </w:p>
        </w:tc>
        <w:tc>
          <w:tcPr>
            <w:tcW w:w="2304" w:type="dxa"/>
          </w:tcPr>
          <w:p w14:paraId="3935916F">
            <w:pPr>
              <w:jc w:val="center"/>
            </w:pPr>
            <w:r>
              <w:rPr>
                <w:rFonts w:ascii="Arial" w:hAnsi="Arial" w:eastAsia="Arial" w:cs="Arial"/>
                <w:i w:val="0"/>
                <w:iCs w:val="0"/>
                <w:caps w:val="0"/>
                <w:color w:val="141414"/>
                <w:spacing w:val="0"/>
                <w:sz w:val="19"/>
                <w:szCs w:val="19"/>
                <w:shd w:val="clear" w:fill="FFFFFF"/>
              </w:rPr>
              <w:t>KONE MiniSpace</w:t>
            </w:r>
            <w:r>
              <w:rPr>
                <w:rFonts w:hint="eastAsia" w:ascii="Arial" w:hAnsi="Arial" w:eastAsia="宋体" w:cs="Arial"/>
                <w:i w:val="0"/>
                <w:iCs w:val="0"/>
                <w:caps w:val="0"/>
                <w:color w:val="141414"/>
                <w:spacing w:val="0"/>
                <w:sz w:val="19"/>
                <w:szCs w:val="19"/>
                <w:shd w:val="clear" w:fill="FFFFFF"/>
                <w:lang w:val="en-US" w:eastAsia="zh-CN"/>
              </w:rPr>
              <w:t>(</w:t>
            </w:r>
            <w:r>
              <w:rPr>
                <w:rFonts w:hint="default" w:ascii="Arial" w:hAnsi="Arial" w:eastAsia="Arial" w:cs="Arial"/>
                <w:i w:val="0"/>
                <w:iCs w:val="0"/>
                <w:caps w:val="0"/>
                <w:color w:val="141414"/>
                <w:spacing w:val="0"/>
                <w:sz w:val="19"/>
                <w:szCs w:val="19"/>
                <w:shd w:val="clear" w:fill="FFFFFF"/>
              </w:rPr>
              <w:t> </w:t>
            </w:r>
            <w:r>
              <w:rPr>
                <w:rFonts w:hint="eastAsia" w:ascii="Arial" w:hAnsi="Arial" w:eastAsia="宋体" w:cs="Arial"/>
                <w:i w:val="0"/>
                <w:iCs w:val="0"/>
                <w:caps w:val="0"/>
                <w:color w:val="141414"/>
                <w:spacing w:val="0"/>
                <w:sz w:val="19"/>
                <w:szCs w:val="19"/>
                <w:shd w:val="clear" w:fill="FFFFFF"/>
                <w:lang w:eastAsia="zh-CN"/>
              </w:rPr>
              <w:t>通力）</w:t>
            </w:r>
          </w:p>
        </w:tc>
        <w:tc>
          <w:tcPr>
            <w:tcW w:w="993" w:type="dxa"/>
          </w:tcPr>
          <w:p w14:paraId="57191C93">
            <w:pPr>
              <w:jc w:val="center"/>
              <w:rPr>
                <w:rFonts w:hint="eastAsia" w:eastAsiaTheme="minorEastAsia"/>
                <w:lang w:val="en-US" w:eastAsia="zh-CN"/>
              </w:rPr>
            </w:pPr>
            <w:r>
              <w:rPr>
                <w:rFonts w:hint="eastAsia"/>
                <w:lang w:val="en-US" w:eastAsia="zh-CN"/>
              </w:rPr>
              <w:t>3层</w:t>
            </w:r>
          </w:p>
        </w:tc>
        <w:tc>
          <w:tcPr>
            <w:tcW w:w="1417" w:type="dxa"/>
          </w:tcPr>
          <w:p w14:paraId="796A17A7">
            <w:pPr>
              <w:jc w:val="center"/>
            </w:pPr>
            <w:r>
              <w:rPr>
                <w:rFonts w:hint="eastAsia" w:ascii="宋体" w:hAnsi="宋体" w:eastAsia="宋体" w:cs="宋体"/>
              </w:rPr>
              <w:t>忠诚楼</w:t>
            </w:r>
          </w:p>
        </w:tc>
      </w:tr>
    </w:tbl>
    <w:p w14:paraId="03AA1171">
      <w:pPr>
        <w:rPr>
          <w:b/>
          <w:bCs/>
        </w:rPr>
      </w:pPr>
      <w:r>
        <w:rPr>
          <w:rFonts w:hint="eastAsia"/>
          <w:b/>
          <w:bCs/>
        </w:rPr>
        <w:t>二、全包服务范畴</w:t>
      </w:r>
    </w:p>
    <w:p w14:paraId="5BBDF988">
      <w:pPr>
        <w:ind w:firstLine="420" w:firstLineChars="200"/>
      </w:pPr>
      <w:r>
        <w:rPr>
          <w:rFonts w:hint="eastAsia"/>
        </w:rPr>
        <w:t>采用半包服务模式，涵盖但不限于以下各项费用：</w:t>
      </w:r>
    </w:p>
    <w:p w14:paraId="017312CE">
      <w:pPr>
        <w:ind w:firstLine="420" w:firstLineChars="200"/>
      </w:pPr>
      <w:r>
        <w:rPr>
          <w:rFonts w:hint="eastAsia"/>
        </w:rPr>
        <w:t>1.配件更换：</w:t>
      </w:r>
      <w:r>
        <w:rPr>
          <w:rFonts w:hint="eastAsia"/>
          <w:b/>
          <w:bCs/>
        </w:rPr>
        <w:t>投标人需提供后续更换配件或设备的大致清单及报价，如维保过程中需更换的配件须报学校同意后，按照投标文件中分项报价表的价格进行更换。此部分费用不含在此次电梯维保服务中，由学校单独支付。</w:t>
      </w:r>
    </w:p>
    <w:p w14:paraId="43A1748B">
      <w:pPr>
        <w:ind w:firstLine="420" w:firstLineChars="200"/>
      </w:pPr>
      <w:r>
        <w:rPr>
          <w:rFonts w:hint="eastAsia"/>
        </w:rPr>
        <w:t>2.维修作业：承担所有因电梯故障引发的维修工作，包括但不限于机械系统故障修复，如调整导轨垂直度、修复曳引轮磨损；电气系统故障排查与修复，如查找线路短路、断路点，更换损坏的电路板；控制系统故障处理，确保电梯的启动、运行、停止、平层等各项控制功能精准无误，且维修过程遵循相关安全规范，保障维修人员与电梯乘客的安全。</w:t>
      </w:r>
    </w:p>
    <w:p w14:paraId="26007151">
      <w:pPr>
        <w:ind w:firstLine="420" w:firstLineChars="200"/>
      </w:pPr>
      <w:r>
        <w:rPr>
          <w:rFonts w:hint="eastAsia"/>
        </w:rPr>
        <w:t>3.年检：协助学校按照特种设备安全技术规范的要求，每年向特种设备检验检测机构申请电梯定期检验，并提前做好检验准备工作，如对电梯进行全面自查自纠，整理好维保记录、设备档案等资料，确保电梯顺利通过年检，年检通过率应达到100%。承担因电梯自身原因导致年检不合格所产生的复检费用及整改费用。</w:t>
      </w:r>
    </w:p>
    <w:p w14:paraId="5429F1E9">
      <w:pPr>
        <w:ind w:firstLine="420" w:firstLineChars="200"/>
      </w:pPr>
      <w:r>
        <w:rPr>
          <w:rFonts w:hint="eastAsia"/>
        </w:rPr>
        <w:t>4.保险：购买足额的电梯相关商业保险，包括但不限于电梯第三者责任险、雇主责任险等，保险金额应满足电梯维保行业的相关标准，确保在电梯维保过程中发生意外事故时，能够承担相应的赔偿责任，保障学校、维保人员及乘客的合法权益。</w:t>
      </w:r>
    </w:p>
    <w:p w14:paraId="0DE2041F">
      <w:pPr>
        <w:ind w:firstLine="420" w:firstLineChars="200"/>
      </w:pPr>
      <w:r>
        <w:rPr>
          <w:rFonts w:hint="eastAsia"/>
        </w:rPr>
        <w:t>5.其他所有相关费用：包含但不限于电梯运行过程中的日常清洁耗材费用、润滑油脂费用、工具设备损耗费用、因电梯故障导致的临时救援设备租赁费用以及与电梯维保服务相关的交通费用、通讯费用等一切杂项开支，均由维保单位自行承担，学校无需另行支付任何费用。</w:t>
      </w:r>
    </w:p>
    <w:p w14:paraId="6C260601">
      <w:pPr>
        <w:rPr>
          <w:b/>
          <w:bCs/>
        </w:rPr>
      </w:pPr>
      <w:r>
        <w:rPr>
          <w:rFonts w:hint="eastAsia"/>
          <w:b/>
          <w:bCs/>
        </w:rPr>
        <w:t>三、常规维保</w:t>
      </w:r>
    </w:p>
    <w:p w14:paraId="2B202AD2">
      <w:pPr>
        <w:ind w:firstLine="420" w:firstLineChars="200"/>
      </w:pPr>
      <w:r>
        <w:rPr>
          <w:rFonts w:hint="eastAsia"/>
        </w:rPr>
        <w:t>按照国家电梯维保相关标准及电梯制造商的技术要求，每月至少进行 2 次常规维保作业，每次维保时间间隔不超过 15 天，确保电梯的安全运行性能。维保作业应涵盖电梯的机械系统、电气系统、控制系统等各个关键部分，包括但不限于：</w:t>
      </w:r>
    </w:p>
    <w:p w14:paraId="7E1A61A8">
      <w:pPr>
        <w:ind w:firstLine="420" w:firstLineChars="200"/>
      </w:pPr>
      <w:r>
        <w:rPr>
          <w:rFonts w:hint="eastAsia"/>
        </w:rPr>
        <w:t>1.对电梯轿厢、门系统进行清洁、润滑、调整，确保轿厢运行平稳，门的开启与关闭顺畅、灵敏，无卡顿、异常声响，门缝间隙符合安全标准，防止夹人、夹物事故发生。</w:t>
      </w:r>
    </w:p>
    <w:p w14:paraId="1AED840F">
      <w:pPr>
        <w:ind w:firstLine="420" w:firstLineChars="200"/>
      </w:pPr>
      <w:r>
        <w:rPr>
          <w:rFonts w:hint="eastAsia"/>
        </w:rPr>
        <w:t>2.检查曳引机、钢丝绳、导轨等机械部件的磨损情况，及时调整钢丝绳张力，更换磨损超过规定限度的部件，确保电梯运行的机械稳定性。</w:t>
      </w:r>
    </w:p>
    <w:p w14:paraId="2045B636">
      <w:pPr>
        <w:ind w:firstLine="420" w:firstLineChars="200"/>
      </w:pPr>
      <w:r>
        <w:rPr>
          <w:rFonts w:hint="eastAsia"/>
        </w:rPr>
        <w:t>3.检测电梯的电气控制系统，包括控制柜内的接触器、继电器、变频器等电器元件，清洁灰尘，紧固接线端子，确保电气线路连接可靠，控制系统反应灵敏，电梯运行指令准确执行。</w:t>
      </w:r>
    </w:p>
    <w:p w14:paraId="16FFC8EA">
      <w:pPr>
        <w:ind w:firstLine="420" w:firstLineChars="200"/>
      </w:pPr>
      <w:r>
        <w:rPr>
          <w:rFonts w:hint="eastAsia"/>
        </w:rPr>
        <w:t>4.对电梯的安全保护装置，如限速器、安全钳、缓冲器、门锁装置等进行定期校验与维护，确保在电梯出现超速、失控等紧急情况时，安全保护装置能迅速、可靠地动作，保障乘客生命安全。限速器动作速度应每年校验一次，安全钳应每2年进行一次联动试验，缓冲器应定期检查其缓冲性能。</w:t>
      </w:r>
    </w:p>
    <w:p w14:paraId="331DF8C2">
      <w:pPr>
        <w:ind w:firstLine="420" w:firstLineChars="200"/>
      </w:pPr>
      <w:r>
        <w:rPr>
          <w:rFonts w:hint="eastAsia"/>
        </w:rPr>
        <w:t>5.每次维保作业后，必须详细填写维保记录，记录内容应包括维保日期、维保人员姓名、维保项目、发现的问题及处理情况等信息，维保记录需经学校设备管理部门签字确认，并至少保存 2 年，以便追溯电梯的维保历史。</w:t>
      </w:r>
    </w:p>
    <w:p w14:paraId="74DBC9C9">
      <w:pPr>
        <w:rPr>
          <w:b/>
          <w:bCs/>
        </w:rPr>
      </w:pPr>
      <w:r>
        <w:rPr>
          <w:rFonts w:hint="eastAsia"/>
          <w:b/>
          <w:bCs/>
        </w:rPr>
        <w:t>四、应急维修</w:t>
      </w:r>
    </w:p>
    <w:p w14:paraId="1FDD8A86">
      <w:pPr>
        <w:ind w:firstLine="420" w:firstLineChars="200"/>
      </w:pPr>
      <w:r>
        <w:rPr>
          <w:rFonts w:hint="eastAsia"/>
        </w:rPr>
        <w:t>1.设立 24 小时应急响应电话，确保在接到电梯故障报修后，维保人员能在30分钟内响应，1小时内到达现场，并迅速开展故障排查与抢修工作，尽快恢复电梯运行。</w:t>
      </w:r>
    </w:p>
    <w:p w14:paraId="60767039">
      <w:pPr>
        <w:ind w:firstLine="420" w:firstLineChars="200"/>
      </w:pPr>
      <w:r>
        <w:rPr>
          <w:rFonts w:hint="eastAsia"/>
        </w:rPr>
        <w:t>2.对于影响电梯安全运行的重大故障，如电梯困人、轿厢冲顶、蹲底、控制系统失灵等，维保人员应立即采取紧急救援措施，解救被困乘客，确保被困人员的人身安全，并在到达现场后 1 小时内初步判断故障原因，制定维修方案，向学校设备管理部门汇报维修进展情况，维修完成后经测试确保电梯运行正常方可交付使用。</w:t>
      </w:r>
    </w:p>
    <w:p w14:paraId="38C3B884">
      <w:pPr>
        <w:rPr>
          <w:b/>
          <w:bCs/>
        </w:rPr>
      </w:pPr>
      <w:r>
        <w:rPr>
          <w:rFonts w:hint="eastAsia"/>
          <w:b/>
          <w:bCs/>
        </w:rPr>
        <w:t>五、培训与沟通</w:t>
      </w:r>
    </w:p>
    <w:p w14:paraId="31F60B93">
      <w:pPr>
        <w:ind w:firstLine="420" w:firstLineChars="200"/>
      </w:pPr>
      <w:r>
        <w:rPr>
          <w:rFonts w:hint="eastAsia"/>
        </w:rPr>
        <w:t>1.每季度为学校的电梯操作人员、设备管理人员提供不少于 2 小时的电梯安全知识培训，培训内容包括电梯的基本操作方法、日常维护注意事项、紧急救援流程、安全乘梯知识等，提高学校工作人员的电梯安全意识与应急处理能力。</w:t>
      </w:r>
    </w:p>
    <w:p w14:paraId="545B07EA">
      <w:pPr>
        <w:ind w:firstLine="420" w:firstLineChars="200"/>
      </w:pPr>
      <w:r>
        <w:rPr>
          <w:rFonts w:hint="eastAsia"/>
        </w:rPr>
        <w:t>2.每月与学校设备管理部门进行一次工作沟通会议，汇报电梯维保工作进展情况、存在的问题及解决方案，听取学校方面的意见与建议，加强双方的协作配合，共同保障电梯的安全运行。</w:t>
      </w:r>
    </w:p>
    <w:p w14:paraId="4F2BF9AF">
      <w:pPr>
        <w:rPr>
          <w:b/>
          <w:bCs/>
        </w:rPr>
      </w:pPr>
      <w:r>
        <w:rPr>
          <w:rFonts w:hint="eastAsia"/>
          <w:b/>
          <w:bCs/>
        </w:rPr>
        <w:t>六、维保人员要求</w:t>
      </w:r>
    </w:p>
    <w:p w14:paraId="6D508249">
      <w:pPr>
        <w:ind w:firstLine="420" w:firstLineChars="200"/>
      </w:pPr>
      <w:r>
        <w:rPr>
          <w:rFonts w:hint="eastAsia"/>
        </w:rPr>
        <w:t>1.维保单位应配备至少2名具有电梯维修操作资格证书的专业维保人员，负责本项目的电梯维保工作，维保人员应相对固定，如需更换，必须提前书面通知学校，并确保新换人员具备同等资质与经验。</w:t>
      </w:r>
    </w:p>
    <w:p w14:paraId="4C323E67">
      <w:pPr>
        <w:ind w:firstLine="420" w:firstLineChars="200"/>
      </w:pPr>
      <w:r>
        <w:rPr>
          <w:rFonts w:hint="eastAsia"/>
        </w:rPr>
        <w:t>2.维保人员应熟悉学校环境与工作流程，遵守学校的各项规章制度，在学校内作业时应着装统一、整洁，佩戴工作牌，举止文明，尽量减少对学校正常医疗秩序的干扰。</w:t>
      </w:r>
    </w:p>
    <w:p w14:paraId="46D7FF57">
      <w:pPr>
        <w:rPr>
          <w:b/>
          <w:bCs/>
        </w:rPr>
      </w:pPr>
      <w:r>
        <w:rPr>
          <w:rFonts w:hint="eastAsia"/>
          <w:b/>
          <w:bCs/>
        </w:rPr>
        <w:t>七、考核与评价</w:t>
      </w:r>
    </w:p>
    <w:p w14:paraId="5F7E0AE8">
      <w:pPr>
        <w:ind w:firstLine="420" w:firstLineChars="200"/>
      </w:pPr>
      <w:r>
        <w:rPr>
          <w:rFonts w:hint="eastAsia"/>
        </w:rPr>
        <w:t>1.月度考核</w:t>
      </w:r>
    </w:p>
    <w:p w14:paraId="5C56BEB1">
      <w:pPr>
        <w:ind w:firstLine="420" w:firstLineChars="200"/>
      </w:pPr>
      <w:r>
        <w:rPr>
          <w:rFonts w:hint="eastAsia"/>
        </w:rPr>
        <w:t>学校设备管理部门每月对电梯维保工作进行考核，考核内容包括维保记录的完整性、及时性，常规维保作业的执行情况，应急响应速度，故障维修效果等方面。具体考核细则如下：</w:t>
      </w:r>
    </w:p>
    <w:p w14:paraId="57F53580">
      <w:r>
        <w:rPr>
          <w:rFonts w:hint="eastAsia"/>
        </w:rPr>
        <w:t>（1）若发现维保记录缺失、填写不规范或未按时填写，每次扣 5 分。</w:t>
      </w:r>
    </w:p>
    <w:p w14:paraId="50761141">
      <w:r>
        <w:rPr>
          <w:rFonts w:hint="eastAsia"/>
        </w:rPr>
        <w:t>（2）常规维保作业每少做一次扣 10 分，维保项目有遗漏或未达到标准要求，一处扣 5 分。</w:t>
      </w:r>
    </w:p>
    <w:p w14:paraId="1F0BF404">
      <w:r>
        <w:rPr>
          <w:rFonts w:hint="eastAsia"/>
        </w:rPr>
        <w:t>（3）应急响应超过规定时间，每次扣 20 分；故障维修后电梯在 24 小时内再次出现相同故障，每次扣 10 分。</w:t>
      </w:r>
    </w:p>
    <w:p w14:paraId="645FE312">
      <w:pPr>
        <w:ind w:firstLine="420" w:firstLineChars="200"/>
        <w:jc w:val="both"/>
      </w:pPr>
      <w:r>
        <w:rPr>
          <w:rFonts w:hint="eastAsia"/>
        </w:rPr>
        <w:t>考核结果以分数形式呈现，满分 100 分，每扣 1 分对应扣除当月维保费用的 1%。例如，当月考核扣10分，则扣除当月维保费用的 10%。考核结果将以书面报告形式通知维保单位，维保单位应在接到通知后的3个工作日内提交整改方案，并在规定时间内完成整改。</w:t>
      </w:r>
    </w:p>
    <w:p w14:paraId="740E6DC1">
      <w:pPr>
        <w:ind w:firstLine="420" w:firstLineChars="200"/>
      </w:pPr>
      <w:r>
        <w:rPr>
          <w:rFonts w:hint="eastAsia"/>
        </w:rPr>
        <w:t>2.年度考核</w:t>
      </w:r>
    </w:p>
    <w:p w14:paraId="46602F89">
      <w:pPr>
        <w:ind w:firstLine="420" w:firstLineChars="200"/>
      </w:pPr>
      <w:r>
        <w:rPr>
          <w:rFonts w:hint="eastAsia"/>
        </w:rPr>
        <w:t>结合每月考核结果，每年进行一次年度考核，年度考核结果分为优秀（年度平均分 90 分及以上）、良好（年度平均分 80 - 89 分）、 合格（年度平均分 60 - 79 分）、不合格（年度平均分 60 分以下）四个等级。</w:t>
      </w:r>
    </w:p>
    <w:p w14:paraId="4D525A22">
      <w:pPr>
        <w:ind w:firstLine="420" w:firstLineChars="200"/>
      </w:pPr>
      <w:r>
        <w:rPr>
          <w:rFonts w:hint="eastAsia"/>
        </w:rPr>
        <w:t>年度考核结果与维保合同续签挂钩。不合格：不再续签维保合同，并要求维保单位在合同终止后5天内完成电梯交接工作。</w:t>
      </w:r>
    </w:p>
    <w:p w14:paraId="587B7879">
      <w:pPr>
        <w:rPr>
          <w:b/>
          <w:bCs/>
        </w:rPr>
      </w:pPr>
      <w:r>
        <w:rPr>
          <w:rFonts w:hint="eastAsia"/>
          <w:b/>
          <w:bCs/>
        </w:rPr>
        <w:t>八、其他要求</w:t>
      </w:r>
    </w:p>
    <w:p w14:paraId="2BFB4B3F">
      <w:pPr>
        <w:ind w:firstLine="420" w:firstLineChars="200"/>
      </w:pPr>
      <w:r>
        <w:rPr>
          <w:rFonts w:hint="eastAsia"/>
        </w:rPr>
        <w:t>本招标服务需求仅为基本要求，维保单位应根据电梯的实际运行情况、行业技术发展及学校的特殊需求，不断优化维保服务方案，提供更加优质、高效的电梯维保服务，确保学校电梯的安全、可靠运行。</w:t>
      </w:r>
    </w:p>
    <w:p w14:paraId="21F04819"/>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11EAC"/>
    <w:rsid w:val="00124AB6"/>
    <w:rsid w:val="001C4B21"/>
    <w:rsid w:val="001E74AC"/>
    <w:rsid w:val="009E1F4C"/>
    <w:rsid w:val="00A03AF5"/>
    <w:rsid w:val="00BB2E65"/>
    <w:rsid w:val="00C81A99"/>
    <w:rsid w:val="00D2596F"/>
    <w:rsid w:val="00F86F70"/>
    <w:rsid w:val="25111561"/>
    <w:rsid w:val="31D1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2411</Words>
  <Characters>2454</Characters>
  <Lines>18</Lines>
  <Paragraphs>5</Paragraphs>
  <TotalTime>34</TotalTime>
  <ScaleCrop>false</ScaleCrop>
  <LinksUpToDate>false</LinksUpToDate>
  <CharactersWithSpaces>2497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2025-01-09T08:03:00Z</dcterms:created>
  <dc:creator>我在左边</dc:creator>
  <cp:lastModifiedBy>我在左边</cp:lastModifiedBy>
  <dcterms:modified xsi:type="dcterms:W3CDTF">2025-01-09T12:14:12Z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E90BEE1816CC491BB5B61ABDF04CDC43_11</vt:lpwstr>
  </property>
  <property fmtid="{D5CDD505-2E9C-101B-9397-08002B2CF9AE}" pid="4" name="KSOTemplateDocerSaveRecord">
    <vt:lpwstr>eyJoZGlkIjoiYjU2M2IwNmE1ZmYyMzE5N2I4MDAxYmIzNzJlMjNhNjciLCJ1c2VySWQiOiI2MzE5ODQwNTQifQ==</vt:lpwstr>
  </property>
</Properties>
</file>