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2C" w:rsidRDefault="00544C2C" w:rsidP="00544C2C">
      <w:pPr>
        <w:spacing w:line="560" w:lineRule="exact"/>
        <w:rPr>
          <w:rFonts w:ascii="仿宋" w:eastAsia="仿宋" w:hAnsi="仿宋"/>
          <w:sz w:val="32"/>
          <w:szCs w:val="32"/>
        </w:rPr>
      </w:pPr>
      <w:r>
        <w:rPr>
          <w:rFonts w:ascii="仿宋" w:eastAsia="仿宋" w:hAnsi="仿宋" w:hint="eastAsia"/>
          <w:sz w:val="32"/>
          <w:szCs w:val="32"/>
        </w:rPr>
        <w:t>附件1：</w:t>
      </w:r>
    </w:p>
    <w:p w:rsidR="00544C2C" w:rsidRDefault="00544C2C" w:rsidP="00544C2C">
      <w:pPr>
        <w:widowControl/>
        <w:shd w:val="clear" w:color="auto" w:fill="FFFFFF"/>
        <w:spacing w:before="75" w:after="150" w:line="560" w:lineRule="exact"/>
        <w:jc w:val="center"/>
        <w:outlineLvl w:val="0"/>
        <w:rPr>
          <w:rFonts w:ascii="黑体" w:eastAsia="黑体" w:hAnsi="宋体" w:cs="黑体"/>
          <w:b/>
          <w:bCs/>
          <w:kern w:val="44"/>
          <w:sz w:val="40"/>
          <w:szCs w:val="40"/>
        </w:rPr>
      </w:pPr>
      <w:r>
        <w:rPr>
          <w:rFonts w:ascii="黑体" w:eastAsia="黑体" w:hAnsi="宋体" w:cs="黑体"/>
          <w:b/>
          <w:bCs/>
          <w:kern w:val="44"/>
          <w:sz w:val="40"/>
          <w:szCs w:val="40"/>
          <w:shd w:val="clear" w:color="auto" w:fill="FFFFFF"/>
        </w:rPr>
        <w:t>202</w:t>
      </w:r>
      <w:r>
        <w:rPr>
          <w:rFonts w:ascii="黑体" w:eastAsia="黑体" w:hAnsi="宋体" w:cs="黑体" w:hint="eastAsia"/>
          <w:b/>
          <w:bCs/>
          <w:kern w:val="44"/>
          <w:sz w:val="40"/>
          <w:szCs w:val="40"/>
          <w:shd w:val="clear" w:color="auto" w:fill="FFFFFF"/>
        </w:rPr>
        <w:t>5</w:t>
      </w:r>
      <w:r>
        <w:rPr>
          <w:rFonts w:ascii="黑体" w:eastAsia="黑体" w:hAnsi="宋体" w:cs="黑体"/>
          <w:b/>
          <w:bCs/>
          <w:kern w:val="44"/>
          <w:sz w:val="40"/>
          <w:szCs w:val="40"/>
          <w:shd w:val="clear" w:color="auto" w:fill="FFFFFF"/>
        </w:rPr>
        <w:t>年蚌埠第二中学创新潜质特长生招生</w:t>
      </w:r>
      <w:r>
        <w:rPr>
          <w:rFonts w:ascii="黑体" w:eastAsia="黑体" w:hAnsi="宋体" w:cs="黑体" w:hint="eastAsia"/>
          <w:b/>
          <w:bCs/>
          <w:kern w:val="44"/>
          <w:sz w:val="40"/>
          <w:szCs w:val="40"/>
          <w:shd w:val="clear" w:color="auto" w:fill="FFFFFF"/>
        </w:rPr>
        <w:t>实施办法</w:t>
      </w:r>
    </w:p>
    <w:p w:rsidR="00544C2C" w:rsidRDefault="00544C2C" w:rsidP="00544C2C">
      <w:pPr>
        <w:widowControl/>
        <w:shd w:val="clear" w:color="auto" w:fill="FFFFFF"/>
        <w:spacing w:line="560" w:lineRule="exact"/>
        <w:ind w:firstLine="690"/>
        <w:jc w:val="left"/>
        <w:rPr>
          <w:rFonts w:ascii="仿宋" w:eastAsia="仿宋" w:hAnsi="仿宋" w:cs="微软雅黑"/>
          <w:kern w:val="0"/>
          <w:sz w:val="32"/>
          <w:szCs w:val="32"/>
        </w:rPr>
      </w:pPr>
      <w:r>
        <w:rPr>
          <w:rFonts w:ascii="仿宋" w:eastAsia="仿宋" w:hAnsi="仿宋" w:cs="微软雅黑"/>
          <w:kern w:val="0"/>
          <w:sz w:val="32"/>
          <w:szCs w:val="32"/>
        </w:rPr>
        <w:t>为服务国家</w:t>
      </w:r>
      <w:r>
        <w:rPr>
          <w:rFonts w:ascii="仿宋" w:eastAsia="仿宋" w:hAnsi="仿宋" w:cs="微软雅黑" w:hint="eastAsia"/>
          <w:kern w:val="0"/>
          <w:sz w:val="32"/>
          <w:szCs w:val="32"/>
        </w:rPr>
        <w:t>“强基计划”人才战略需求，探索普通高中育人方式改革，推进全国高品质示范高中建设，促进拔尖学生培养，经市教育局批准，我校2025年将进行创新潜质生招生选拔。</w:t>
      </w:r>
    </w:p>
    <w:p w:rsidR="00544C2C" w:rsidRDefault="00544C2C" w:rsidP="00544C2C">
      <w:pPr>
        <w:widowControl/>
        <w:shd w:val="clear" w:color="auto" w:fill="FFFFFF"/>
        <w:spacing w:line="560" w:lineRule="exact"/>
        <w:ind w:firstLineChars="200" w:firstLine="640"/>
        <w:jc w:val="left"/>
        <w:rPr>
          <w:rFonts w:ascii="黑体" w:eastAsia="黑体" w:hAnsi="黑体" w:cs="微软雅黑"/>
          <w:kern w:val="0"/>
          <w:sz w:val="32"/>
          <w:szCs w:val="32"/>
        </w:rPr>
      </w:pPr>
      <w:r>
        <w:rPr>
          <w:rFonts w:ascii="黑体" w:eastAsia="黑体" w:hAnsi="黑体" w:cs="serif"/>
          <w:kern w:val="0"/>
          <w:sz w:val="32"/>
          <w:szCs w:val="32"/>
          <w:shd w:val="clear" w:color="auto" w:fill="FFFFFF"/>
        </w:rPr>
        <w:t>一、招生原则</w:t>
      </w:r>
    </w:p>
    <w:p w:rsidR="00544C2C" w:rsidRDefault="00544C2C" w:rsidP="00544C2C">
      <w:pPr>
        <w:widowControl/>
        <w:shd w:val="clear" w:color="auto" w:fill="FFFFFF"/>
        <w:spacing w:line="560" w:lineRule="exact"/>
        <w:ind w:firstLineChars="200" w:firstLine="640"/>
        <w:jc w:val="left"/>
        <w:rPr>
          <w:rFonts w:ascii="仿宋" w:eastAsia="仿宋" w:hAnsi="仿宋" w:cs="微软雅黑"/>
          <w:kern w:val="0"/>
          <w:sz w:val="32"/>
          <w:szCs w:val="32"/>
        </w:rPr>
      </w:pPr>
      <w:r>
        <w:rPr>
          <w:rFonts w:ascii="仿宋" w:eastAsia="仿宋" w:hAnsi="仿宋" w:cs="serif"/>
          <w:kern w:val="0"/>
          <w:sz w:val="32"/>
          <w:szCs w:val="32"/>
          <w:shd w:val="clear" w:color="auto" w:fill="FFFFFF"/>
        </w:rPr>
        <w:t>（一）公开、公平、公正原则；</w:t>
      </w:r>
    </w:p>
    <w:p w:rsidR="00544C2C" w:rsidRDefault="00544C2C" w:rsidP="00544C2C">
      <w:pPr>
        <w:widowControl/>
        <w:shd w:val="clear" w:color="auto" w:fill="FFFFFF"/>
        <w:spacing w:line="560" w:lineRule="exact"/>
        <w:ind w:firstLineChars="200" w:firstLine="640"/>
        <w:jc w:val="left"/>
        <w:rPr>
          <w:rFonts w:ascii="仿宋" w:eastAsia="仿宋" w:hAnsi="仿宋" w:cs="微软雅黑"/>
          <w:kern w:val="0"/>
          <w:sz w:val="32"/>
          <w:szCs w:val="32"/>
        </w:rPr>
      </w:pPr>
      <w:r>
        <w:rPr>
          <w:rFonts w:ascii="仿宋" w:eastAsia="仿宋" w:hAnsi="仿宋" w:cs="serif"/>
          <w:kern w:val="0"/>
          <w:sz w:val="32"/>
          <w:szCs w:val="32"/>
          <w:shd w:val="clear" w:color="auto" w:fill="FFFFFF"/>
        </w:rPr>
        <w:t>（二）考生自愿原则；</w:t>
      </w:r>
      <w:bookmarkStart w:id="0" w:name="_GoBack"/>
      <w:bookmarkEnd w:id="0"/>
    </w:p>
    <w:p w:rsidR="00544C2C" w:rsidRDefault="00544C2C" w:rsidP="00544C2C">
      <w:pPr>
        <w:widowControl/>
        <w:shd w:val="clear" w:color="auto" w:fill="FFFFFF"/>
        <w:spacing w:line="560" w:lineRule="exact"/>
        <w:ind w:firstLineChars="200" w:firstLine="640"/>
        <w:jc w:val="left"/>
        <w:rPr>
          <w:rFonts w:ascii="仿宋" w:eastAsia="仿宋" w:hAnsi="仿宋" w:cs="微软雅黑"/>
          <w:kern w:val="0"/>
          <w:sz w:val="32"/>
          <w:szCs w:val="32"/>
        </w:rPr>
      </w:pPr>
      <w:r>
        <w:rPr>
          <w:rFonts w:ascii="仿宋" w:eastAsia="仿宋" w:hAnsi="仿宋" w:cs="serif"/>
          <w:kern w:val="0"/>
          <w:sz w:val="32"/>
          <w:szCs w:val="32"/>
          <w:shd w:val="clear" w:color="auto" w:fill="FFFFFF"/>
        </w:rPr>
        <w:t>（三）择优录取原则。</w:t>
      </w:r>
    </w:p>
    <w:p w:rsidR="00544C2C" w:rsidRDefault="00544C2C" w:rsidP="00544C2C">
      <w:pPr>
        <w:widowControl/>
        <w:shd w:val="clear" w:color="auto" w:fill="FFFFFF"/>
        <w:spacing w:line="560" w:lineRule="exact"/>
        <w:ind w:firstLineChars="200" w:firstLine="640"/>
        <w:jc w:val="left"/>
        <w:rPr>
          <w:rFonts w:ascii="黑体" w:eastAsia="黑体" w:hAnsi="黑体" w:cs="微软雅黑"/>
          <w:kern w:val="0"/>
          <w:sz w:val="32"/>
          <w:szCs w:val="32"/>
        </w:rPr>
      </w:pPr>
      <w:r>
        <w:rPr>
          <w:rFonts w:ascii="黑体" w:eastAsia="黑体" w:hAnsi="黑体" w:cs="serif"/>
          <w:kern w:val="0"/>
          <w:sz w:val="32"/>
          <w:szCs w:val="32"/>
          <w:shd w:val="clear" w:color="auto" w:fill="FFFFFF"/>
        </w:rPr>
        <w:t>二、招生计划</w:t>
      </w:r>
    </w:p>
    <w:p w:rsidR="00544C2C" w:rsidRDefault="00544C2C" w:rsidP="00544C2C">
      <w:pPr>
        <w:widowControl/>
        <w:shd w:val="clear" w:color="auto" w:fill="FFFFFF"/>
        <w:spacing w:line="560" w:lineRule="exact"/>
        <w:ind w:left="420" w:firstLineChars="200" w:firstLine="640"/>
        <w:jc w:val="left"/>
        <w:rPr>
          <w:rFonts w:ascii="仿宋" w:eastAsia="仿宋" w:hAnsi="仿宋" w:cs="微软雅黑"/>
          <w:kern w:val="0"/>
          <w:sz w:val="32"/>
          <w:szCs w:val="32"/>
        </w:rPr>
      </w:pPr>
      <w:r>
        <w:rPr>
          <w:rFonts w:ascii="仿宋" w:eastAsia="仿宋" w:hAnsi="仿宋" w:cs="serif" w:hint="eastAsia"/>
          <w:kern w:val="0"/>
          <w:sz w:val="32"/>
          <w:szCs w:val="32"/>
          <w:shd w:val="clear" w:color="auto" w:fill="FFFFFF"/>
        </w:rPr>
        <w:t>蚌埠第二中学创新潜质特长生招生</w:t>
      </w:r>
      <w:r>
        <w:rPr>
          <w:rFonts w:ascii="仿宋" w:eastAsia="仿宋" w:hAnsi="仿宋" w:cs="serif"/>
          <w:kern w:val="0"/>
          <w:sz w:val="32"/>
          <w:szCs w:val="32"/>
          <w:shd w:val="clear" w:color="auto" w:fill="FFFFFF"/>
        </w:rPr>
        <w:t>属提前批次招生，</w:t>
      </w:r>
      <w:r>
        <w:rPr>
          <w:rFonts w:ascii="仿宋" w:eastAsia="仿宋" w:hAnsi="仿宋" w:cs="serif" w:hint="eastAsia"/>
          <w:kern w:val="0"/>
          <w:sz w:val="32"/>
          <w:szCs w:val="32"/>
          <w:shd w:val="clear" w:color="auto" w:fill="FFFFFF"/>
        </w:rPr>
        <w:t>共计招收65人，其中物理方向55人，历史方向10人。</w:t>
      </w:r>
    </w:p>
    <w:p w:rsidR="00544C2C" w:rsidRDefault="00544C2C" w:rsidP="00544C2C">
      <w:pPr>
        <w:widowControl/>
        <w:shd w:val="clear" w:color="auto" w:fill="FFFFFF"/>
        <w:spacing w:line="560" w:lineRule="exact"/>
        <w:ind w:firstLineChars="200" w:firstLine="640"/>
        <w:jc w:val="left"/>
        <w:rPr>
          <w:rFonts w:ascii="黑体" w:eastAsia="黑体" w:hAnsi="黑体" w:cs="serif"/>
          <w:kern w:val="0"/>
          <w:sz w:val="32"/>
          <w:szCs w:val="32"/>
          <w:shd w:val="clear" w:color="auto" w:fill="FFFFFF"/>
        </w:rPr>
      </w:pPr>
      <w:r>
        <w:rPr>
          <w:rFonts w:ascii="黑体" w:eastAsia="黑体" w:hAnsi="黑体" w:cs="serif"/>
          <w:kern w:val="0"/>
          <w:sz w:val="32"/>
          <w:szCs w:val="32"/>
          <w:shd w:val="clear" w:color="auto" w:fill="FFFFFF"/>
        </w:rPr>
        <w:t>三、报名条件</w:t>
      </w:r>
    </w:p>
    <w:p w:rsidR="00544C2C" w:rsidRDefault="00544C2C" w:rsidP="00544C2C">
      <w:pPr>
        <w:widowControl/>
        <w:shd w:val="clear" w:color="auto" w:fill="FFFFFF"/>
        <w:spacing w:line="560" w:lineRule="exact"/>
        <w:ind w:firstLineChars="200" w:firstLine="640"/>
        <w:jc w:val="left"/>
        <w:rPr>
          <w:rFonts w:ascii="仿宋" w:eastAsia="仿宋" w:hAnsi="仿宋" w:cs="微软雅黑"/>
          <w:kern w:val="0"/>
          <w:sz w:val="32"/>
          <w:szCs w:val="32"/>
        </w:rPr>
      </w:pPr>
      <w:r>
        <w:rPr>
          <w:rFonts w:ascii="仿宋" w:eastAsia="仿宋" w:hAnsi="仿宋" w:cs="宋体" w:hint="eastAsia"/>
          <w:kern w:val="0"/>
          <w:sz w:val="32"/>
          <w:szCs w:val="32"/>
          <w:shd w:val="clear" w:color="auto" w:fill="FFFFFF"/>
        </w:rPr>
        <w:t>1.2025年蚌埠市市区应届初中毕业生；</w:t>
      </w:r>
    </w:p>
    <w:p w:rsidR="00544C2C" w:rsidRDefault="00544C2C" w:rsidP="00544C2C">
      <w:pPr>
        <w:widowControl/>
        <w:shd w:val="clear" w:color="auto" w:fill="FFFFFF"/>
        <w:spacing w:line="560" w:lineRule="exact"/>
        <w:ind w:firstLineChars="200" w:firstLine="640"/>
        <w:jc w:val="left"/>
        <w:rPr>
          <w:rFonts w:ascii="仿宋" w:eastAsia="仿宋" w:hAnsi="仿宋" w:cs="微软雅黑"/>
          <w:kern w:val="0"/>
          <w:sz w:val="32"/>
          <w:szCs w:val="32"/>
        </w:rPr>
      </w:pPr>
      <w:r>
        <w:rPr>
          <w:rFonts w:ascii="仿宋" w:eastAsia="仿宋" w:hAnsi="仿宋" w:cs="宋体" w:hint="eastAsia"/>
          <w:kern w:val="0"/>
          <w:sz w:val="32"/>
          <w:szCs w:val="32"/>
          <w:shd w:val="clear" w:color="auto" w:fill="FFFFFF"/>
        </w:rPr>
        <w:t>2.</w:t>
      </w:r>
      <w:r>
        <w:rPr>
          <w:rFonts w:ascii="仿宋" w:eastAsia="仿宋" w:hAnsi="仿宋" w:cs="serif"/>
          <w:kern w:val="0"/>
          <w:sz w:val="32"/>
          <w:szCs w:val="32"/>
          <w:shd w:val="clear" w:color="auto" w:fill="FFFFFF"/>
        </w:rPr>
        <w:t>综合素质评价结果达到省示范高中录取要求；</w:t>
      </w:r>
    </w:p>
    <w:p w:rsidR="00544C2C" w:rsidRDefault="00544C2C" w:rsidP="00544C2C">
      <w:pPr>
        <w:widowControl/>
        <w:shd w:val="clear" w:color="auto" w:fill="FFFFFF"/>
        <w:spacing w:line="560" w:lineRule="exact"/>
        <w:ind w:firstLineChars="200" w:firstLine="640"/>
        <w:jc w:val="left"/>
        <w:rPr>
          <w:rFonts w:ascii="仿宋" w:eastAsia="仿宋" w:hAnsi="仿宋" w:cs="微软雅黑"/>
          <w:kern w:val="0"/>
          <w:sz w:val="32"/>
          <w:szCs w:val="32"/>
        </w:rPr>
      </w:pPr>
      <w:r>
        <w:rPr>
          <w:rFonts w:ascii="仿宋" w:eastAsia="仿宋" w:hAnsi="仿宋" w:cs="宋体"/>
          <w:kern w:val="0"/>
          <w:sz w:val="32"/>
          <w:szCs w:val="32"/>
          <w:shd w:val="clear" w:color="auto" w:fill="FFFFFF"/>
        </w:rPr>
        <w:t>3</w:t>
      </w:r>
      <w:r>
        <w:rPr>
          <w:rFonts w:ascii="仿宋" w:eastAsia="仿宋" w:hAnsi="仿宋" w:cs="serif" w:hint="eastAsia"/>
          <w:kern w:val="0"/>
          <w:sz w:val="32"/>
          <w:szCs w:val="32"/>
          <w:shd w:val="clear" w:color="auto" w:fill="FFFFFF"/>
        </w:rPr>
        <w:t>.</w:t>
      </w:r>
      <w:r>
        <w:rPr>
          <w:rFonts w:ascii="仿宋" w:eastAsia="仿宋" w:hAnsi="仿宋" w:cs="serif"/>
          <w:kern w:val="0"/>
          <w:sz w:val="32"/>
          <w:szCs w:val="32"/>
          <w:shd w:val="clear" w:color="auto" w:fill="FFFFFF"/>
        </w:rPr>
        <w:t>初中阶段学业成绩优秀，具有一定学科特长或潜质。</w:t>
      </w:r>
      <w:r>
        <w:rPr>
          <w:rFonts w:ascii="Calibri" w:eastAsia="仿宋" w:hAnsi="Calibri" w:cs="Calibri"/>
          <w:kern w:val="0"/>
          <w:sz w:val="32"/>
          <w:szCs w:val="32"/>
          <w:shd w:val="clear" w:color="auto" w:fill="FFFFFF"/>
        </w:rPr>
        <w:t> </w:t>
      </w:r>
    </w:p>
    <w:p w:rsidR="00544C2C" w:rsidRDefault="00544C2C" w:rsidP="00544C2C">
      <w:pPr>
        <w:widowControl/>
        <w:shd w:val="clear" w:color="auto" w:fill="FFFFFF"/>
        <w:spacing w:line="560" w:lineRule="exact"/>
        <w:ind w:firstLineChars="200" w:firstLine="640"/>
        <w:jc w:val="left"/>
        <w:rPr>
          <w:rFonts w:ascii="黑体" w:eastAsia="黑体" w:hAnsi="黑体" w:cs="serif"/>
          <w:kern w:val="0"/>
          <w:sz w:val="32"/>
          <w:szCs w:val="32"/>
          <w:shd w:val="clear" w:color="auto" w:fill="FFFFFF"/>
        </w:rPr>
      </w:pPr>
      <w:r>
        <w:rPr>
          <w:rFonts w:ascii="黑体" w:eastAsia="黑体" w:hAnsi="黑体" w:cs="serif" w:hint="eastAsia"/>
          <w:kern w:val="0"/>
          <w:sz w:val="32"/>
          <w:szCs w:val="32"/>
          <w:shd w:val="clear" w:color="auto" w:fill="FFFFFF"/>
        </w:rPr>
        <w:t>四、报名时间与方式</w:t>
      </w:r>
    </w:p>
    <w:p w:rsidR="00544C2C" w:rsidRDefault="00544C2C" w:rsidP="00544C2C">
      <w:pPr>
        <w:pStyle w:val="a3"/>
        <w:widowControl/>
        <w:shd w:val="clear" w:color="auto" w:fill="FFFFFF"/>
        <w:spacing w:beforeAutospacing="0" w:afterAutospacing="0"/>
        <w:ind w:firstLineChars="200" w:firstLine="640"/>
        <w:rPr>
          <w:rFonts w:ascii="仿宋" w:eastAsia="仿宋" w:hAnsi="仿宋" w:cs="serif"/>
          <w:sz w:val="32"/>
          <w:szCs w:val="32"/>
          <w:highlight w:val="yellow"/>
          <w:shd w:val="clear" w:color="auto" w:fill="FFFFFF"/>
        </w:rPr>
      </w:pPr>
      <w:r>
        <w:rPr>
          <w:rFonts w:ascii="仿宋" w:eastAsia="仿宋" w:hAnsi="仿宋" w:cs="宋体" w:hint="eastAsia"/>
          <w:sz w:val="32"/>
          <w:szCs w:val="32"/>
          <w:shd w:val="clear" w:color="auto" w:fill="FFFFFF"/>
        </w:rPr>
        <w:t>1.报名时间：统一报名时间为</w:t>
      </w:r>
      <w:r>
        <w:rPr>
          <w:rFonts w:ascii="仿宋" w:eastAsia="仿宋" w:hAnsi="仿宋" w:hint="eastAsia"/>
          <w:sz w:val="32"/>
          <w:szCs w:val="32"/>
        </w:rPr>
        <w:t>6月12日上午8：00-6月16日中午12：00</w:t>
      </w:r>
      <w:r>
        <w:rPr>
          <w:rFonts w:ascii="仿宋" w:eastAsia="仿宋" w:hAnsi="仿宋" w:cs="serif" w:hint="eastAsia"/>
          <w:sz w:val="32"/>
          <w:szCs w:val="32"/>
          <w:shd w:val="clear" w:color="auto" w:fill="FFFFFF"/>
        </w:rPr>
        <w:t>。</w:t>
      </w:r>
    </w:p>
    <w:p w:rsidR="00544C2C" w:rsidRDefault="00544C2C" w:rsidP="00544C2C">
      <w:pPr>
        <w:pStyle w:val="a3"/>
        <w:widowControl/>
        <w:shd w:val="clear" w:color="auto" w:fill="FFFFFF"/>
        <w:spacing w:beforeAutospacing="0" w:afterAutospacing="0"/>
        <w:ind w:firstLineChars="200" w:firstLine="64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 xml:space="preserve">咨询电话：3223007、3223010、2043733 </w:t>
      </w:r>
    </w:p>
    <w:p w:rsidR="00544C2C" w:rsidRDefault="00544C2C" w:rsidP="00544C2C">
      <w:pPr>
        <w:pStyle w:val="a3"/>
        <w:widowControl/>
        <w:shd w:val="clear" w:color="auto" w:fill="FFFFFF"/>
        <w:spacing w:beforeAutospacing="0" w:afterAutospacing="0"/>
        <w:ind w:firstLineChars="200" w:firstLine="64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lastRenderedPageBreak/>
        <w:t>2.报名方式：考生登录蚌埠市中考特长生报名系统（</w:t>
      </w:r>
      <w:proofErr w:type="gramStart"/>
      <w:r>
        <w:rPr>
          <w:rFonts w:ascii="仿宋" w:eastAsia="仿宋" w:hAnsi="仿宋" w:cs="宋体" w:hint="eastAsia"/>
          <w:sz w:val="32"/>
          <w:szCs w:val="32"/>
          <w:shd w:val="clear" w:color="auto" w:fill="FFFFFF"/>
        </w:rPr>
        <w:t>扫码或</w:t>
      </w:r>
      <w:proofErr w:type="gramEnd"/>
      <w:r>
        <w:rPr>
          <w:rFonts w:ascii="仿宋" w:eastAsia="仿宋" w:hAnsi="仿宋" w:cs="宋体" w:hint="eastAsia"/>
          <w:sz w:val="32"/>
          <w:szCs w:val="32"/>
          <w:shd w:val="clear" w:color="auto" w:fill="FFFFFF"/>
        </w:rPr>
        <w:t>打开网址</w:t>
      </w:r>
      <w:r>
        <w:rPr>
          <w:rFonts w:ascii="仿宋" w:eastAsia="仿宋" w:hAnsi="仿宋" w:cs="宋体"/>
          <w:sz w:val="32"/>
          <w:szCs w:val="32"/>
          <w:shd w:val="clear" w:color="auto" w:fill="FFFFFF"/>
        </w:rPr>
        <w:t>http://218.22.100.195:4321/tcs/</w:t>
      </w:r>
      <w:r>
        <w:rPr>
          <w:rFonts w:ascii="仿宋" w:eastAsia="仿宋" w:hAnsi="仿宋" w:cs="宋体" w:hint="eastAsia"/>
          <w:sz w:val="32"/>
          <w:szCs w:val="32"/>
          <w:shd w:val="clear" w:color="auto" w:fill="FFFFFF"/>
        </w:rPr>
        <w:t>）在线报名。在线报名时须上</w:t>
      </w:r>
      <w:proofErr w:type="gramStart"/>
      <w:r>
        <w:rPr>
          <w:rFonts w:ascii="仿宋" w:eastAsia="仿宋" w:hAnsi="仿宋" w:cs="宋体" w:hint="eastAsia"/>
          <w:sz w:val="32"/>
          <w:szCs w:val="32"/>
          <w:shd w:val="clear" w:color="auto" w:fill="FFFFFF"/>
        </w:rPr>
        <w:t>传相关</w:t>
      </w:r>
      <w:proofErr w:type="gramEnd"/>
      <w:r>
        <w:rPr>
          <w:rFonts w:ascii="仿宋" w:eastAsia="仿宋" w:hAnsi="仿宋" w:cs="宋体" w:hint="eastAsia"/>
          <w:sz w:val="32"/>
          <w:szCs w:val="32"/>
          <w:shd w:val="clear" w:color="auto" w:fill="FFFFFF"/>
        </w:rPr>
        <w:t>学业成绩证明。</w:t>
      </w:r>
    </w:p>
    <w:p w:rsidR="00544C2C" w:rsidRDefault="00544C2C" w:rsidP="00544C2C">
      <w:pPr>
        <w:pStyle w:val="a3"/>
        <w:widowControl/>
        <w:shd w:val="clear" w:color="auto" w:fill="FFFFFF"/>
        <w:spacing w:beforeAutospacing="0" w:afterAutospacing="0"/>
        <w:ind w:firstLineChars="200" w:firstLine="640"/>
        <w:rPr>
          <w:rFonts w:ascii="仿宋" w:eastAsia="仿宋" w:hAnsi="仿宋" w:cs="宋体"/>
          <w:sz w:val="32"/>
          <w:szCs w:val="32"/>
          <w:shd w:val="clear" w:color="auto" w:fill="FFFFFF"/>
        </w:rPr>
      </w:pPr>
      <w:r>
        <w:rPr>
          <w:rFonts w:ascii="仿宋" w:eastAsia="仿宋" w:hAnsi="仿宋" w:cs="宋体" w:hint="eastAsia"/>
          <w:noProof/>
          <w:sz w:val="32"/>
          <w:szCs w:val="32"/>
          <w:shd w:val="clear" w:color="auto" w:fill="FFFFFF"/>
        </w:rPr>
        <w:drawing>
          <wp:inline distT="0" distB="0" distL="114300" distR="114300" wp14:anchorId="2AFA707B" wp14:editId="64B9F766">
            <wp:extent cx="2139315" cy="2139315"/>
            <wp:effectExtent l="0" t="0" r="0" b="0"/>
            <wp:docPr id="3" name="图片 3" descr="773965ef7a1e99ff9008bc3df0c2c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73965ef7a1e99ff9008bc3df0c2c10f"/>
                    <pic:cNvPicPr>
                      <a:picLocks noChangeAspect="1"/>
                    </pic:cNvPicPr>
                  </pic:nvPicPr>
                  <pic:blipFill>
                    <a:blip r:embed="rId4"/>
                    <a:stretch>
                      <a:fillRect/>
                    </a:stretch>
                  </pic:blipFill>
                  <pic:spPr>
                    <a:xfrm>
                      <a:off x="0" y="0"/>
                      <a:ext cx="2145632" cy="2145632"/>
                    </a:xfrm>
                    <a:prstGeom prst="rect">
                      <a:avLst/>
                    </a:prstGeom>
                  </pic:spPr>
                </pic:pic>
              </a:graphicData>
            </a:graphic>
          </wp:inline>
        </w:drawing>
      </w:r>
    </w:p>
    <w:p w:rsidR="00544C2C" w:rsidRDefault="00544C2C" w:rsidP="00544C2C">
      <w:pPr>
        <w:pStyle w:val="a3"/>
        <w:widowControl/>
        <w:shd w:val="clear" w:color="auto" w:fill="FFFFFF"/>
        <w:spacing w:beforeAutospacing="0" w:afterAutospacing="0"/>
        <w:ind w:firstLineChars="200" w:firstLine="640"/>
        <w:rPr>
          <w:rFonts w:ascii="仿宋" w:eastAsia="仿宋" w:hAnsi="仿宋" w:cs="serif"/>
          <w:sz w:val="32"/>
          <w:szCs w:val="32"/>
          <w:shd w:val="clear" w:color="auto" w:fill="FFFFFF"/>
        </w:rPr>
      </w:pPr>
      <w:r>
        <w:rPr>
          <w:rFonts w:ascii="仿宋" w:eastAsia="仿宋" w:hAnsi="仿宋" w:cs="宋体" w:hint="eastAsia"/>
          <w:sz w:val="32"/>
          <w:szCs w:val="32"/>
          <w:shd w:val="clear" w:color="auto" w:fill="FFFFFF"/>
        </w:rPr>
        <w:t>3.资格审核：报名成功后，由学校工作人员对报名考生进行资格审核。考生可登录报名系统查询是否通过资格审核。审核通过，不得改报</w:t>
      </w:r>
      <w:r>
        <w:rPr>
          <w:rFonts w:ascii="仿宋" w:eastAsia="仿宋" w:hAnsi="仿宋" w:cs="serif" w:hint="eastAsia"/>
          <w:sz w:val="32"/>
          <w:szCs w:val="32"/>
          <w:shd w:val="clear" w:color="auto" w:fill="FFFFFF"/>
        </w:rPr>
        <w:t>。</w:t>
      </w:r>
    </w:p>
    <w:p w:rsidR="00544C2C" w:rsidRDefault="00544C2C" w:rsidP="00544C2C">
      <w:pPr>
        <w:pStyle w:val="a3"/>
        <w:widowControl/>
        <w:shd w:val="clear" w:color="auto" w:fill="FFFFFF"/>
        <w:spacing w:beforeAutospacing="0" w:afterAutospacing="0"/>
        <w:ind w:firstLineChars="200" w:firstLine="64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4.学校将于6月16日下午公示审核合格名单，如对公示结果有异议，可在6月18日下午14:30--17:30 到蚌埠第二中学忠诚楼203室进行线下复核。</w:t>
      </w:r>
    </w:p>
    <w:p w:rsidR="00544C2C" w:rsidRDefault="00544C2C" w:rsidP="00544C2C">
      <w:pPr>
        <w:pStyle w:val="a3"/>
        <w:widowControl/>
        <w:shd w:val="clear" w:color="auto" w:fill="FFFFFF"/>
        <w:spacing w:beforeAutospacing="0" w:afterAutospacing="0"/>
        <w:ind w:firstLineChars="200" w:firstLine="640"/>
        <w:rPr>
          <w:rFonts w:ascii="仿宋" w:eastAsia="仿宋" w:hAnsi="仿宋" w:cs="微软雅黑"/>
          <w:sz w:val="32"/>
          <w:szCs w:val="32"/>
        </w:rPr>
      </w:pPr>
      <w:r>
        <w:rPr>
          <w:rFonts w:ascii="仿宋" w:eastAsia="仿宋" w:hAnsi="仿宋" w:cs="宋体" w:hint="eastAsia"/>
          <w:sz w:val="32"/>
          <w:szCs w:val="32"/>
          <w:shd w:val="clear" w:color="auto" w:fill="FFFFFF"/>
        </w:rPr>
        <w:t>5.报考我校物理方向创新潜质特长生的考生需参加语文、数学、英语、物理四门学科的测试；历史方向创新潜质特长生的考生需参加语文、数学、英语、历史四门学科的测试。</w:t>
      </w:r>
    </w:p>
    <w:p w:rsidR="00544C2C" w:rsidRDefault="00544C2C" w:rsidP="00544C2C">
      <w:pPr>
        <w:pStyle w:val="a3"/>
        <w:widowControl/>
        <w:shd w:val="clear" w:color="auto" w:fill="FFFFFF"/>
        <w:spacing w:beforeAutospacing="0" w:afterAutospacing="0"/>
        <w:ind w:firstLineChars="200" w:firstLine="640"/>
        <w:rPr>
          <w:rFonts w:ascii="仿宋" w:eastAsia="仿宋" w:hAnsi="仿宋" w:cs="微软雅黑"/>
          <w:sz w:val="32"/>
          <w:szCs w:val="32"/>
        </w:rPr>
      </w:pPr>
      <w:r>
        <w:rPr>
          <w:rFonts w:ascii="仿宋" w:eastAsia="仿宋" w:hAnsi="仿宋" w:cs="宋体" w:hint="eastAsia"/>
          <w:sz w:val="32"/>
          <w:szCs w:val="32"/>
          <w:shd w:val="clear" w:color="auto" w:fill="FFFFFF"/>
        </w:rPr>
        <w:t>6.2025年</w:t>
      </w:r>
      <w:r>
        <w:rPr>
          <w:rFonts w:ascii="仿宋" w:eastAsia="仿宋" w:hAnsi="仿宋" w:cs="宋体"/>
          <w:sz w:val="32"/>
          <w:szCs w:val="32"/>
          <w:shd w:val="clear" w:color="auto" w:fill="FFFFFF"/>
        </w:rPr>
        <w:t>6</w:t>
      </w:r>
      <w:r>
        <w:rPr>
          <w:rFonts w:ascii="仿宋" w:eastAsia="仿宋" w:hAnsi="仿宋" w:cs="宋体" w:hint="eastAsia"/>
          <w:sz w:val="32"/>
          <w:szCs w:val="32"/>
          <w:shd w:val="clear" w:color="auto" w:fill="FFFFFF"/>
        </w:rPr>
        <w:t>月19日中午-</w:t>
      </w:r>
      <w:r>
        <w:rPr>
          <w:rFonts w:ascii="仿宋" w:eastAsia="仿宋" w:hAnsi="仿宋" w:cs="宋体"/>
          <w:sz w:val="32"/>
          <w:szCs w:val="32"/>
          <w:shd w:val="clear" w:color="auto" w:fill="FFFFFF"/>
        </w:rPr>
        <w:t>2</w:t>
      </w:r>
      <w:r>
        <w:rPr>
          <w:rFonts w:ascii="仿宋" w:eastAsia="仿宋" w:hAnsi="仿宋" w:cs="宋体" w:hint="eastAsia"/>
          <w:sz w:val="32"/>
          <w:szCs w:val="32"/>
          <w:shd w:val="clear" w:color="auto" w:fill="FFFFFF"/>
        </w:rPr>
        <w:t>0日考生可登录报名系统自行打印准考证。</w:t>
      </w:r>
    </w:p>
    <w:p w:rsidR="00544C2C" w:rsidRDefault="00544C2C" w:rsidP="00544C2C">
      <w:pPr>
        <w:widowControl/>
        <w:shd w:val="clear" w:color="auto" w:fill="FFFFFF"/>
        <w:spacing w:line="560" w:lineRule="exact"/>
        <w:ind w:firstLineChars="200" w:firstLine="640"/>
        <w:jc w:val="left"/>
        <w:rPr>
          <w:rFonts w:ascii="黑体" w:eastAsia="黑体" w:hAnsi="黑体" w:cs="serif"/>
          <w:kern w:val="0"/>
          <w:sz w:val="32"/>
          <w:szCs w:val="32"/>
          <w:shd w:val="clear" w:color="auto" w:fill="FFFFFF"/>
        </w:rPr>
      </w:pPr>
      <w:r>
        <w:rPr>
          <w:rFonts w:ascii="黑体" w:eastAsia="黑体" w:hAnsi="黑体" w:cs="serif" w:hint="eastAsia"/>
          <w:kern w:val="0"/>
          <w:sz w:val="32"/>
          <w:szCs w:val="32"/>
          <w:shd w:val="clear" w:color="auto" w:fill="FFFFFF"/>
        </w:rPr>
        <w:t>五、测试事宜</w:t>
      </w:r>
    </w:p>
    <w:p w:rsidR="00544C2C" w:rsidRDefault="00544C2C" w:rsidP="00544C2C">
      <w:pPr>
        <w:widowControl/>
        <w:shd w:val="clear" w:color="auto" w:fill="FFFFFF"/>
        <w:spacing w:line="560" w:lineRule="exact"/>
        <w:ind w:firstLineChars="200" w:firstLine="640"/>
        <w:jc w:val="left"/>
        <w:rPr>
          <w:rFonts w:ascii="仿宋" w:eastAsia="仿宋" w:hAnsi="仿宋" w:cs="微软雅黑"/>
          <w:kern w:val="0"/>
          <w:sz w:val="32"/>
          <w:szCs w:val="32"/>
        </w:rPr>
      </w:pPr>
      <w:r>
        <w:rPr>
          <w:rFonts w:ascii="仿宋" w:eastAsia="仿宋" w:hAnsi="仿宋" w:cs="宋体" w:hint="eastAsia"/>
          <w:kern w:val="0"/>
          <w:sz w:val="32"/>
          <w:szCs w:val="32"/>
          <w:shd w:val="clear" w:color="auto" w:fill="FFFFFF"/>
        </w:rPr>
        <w:lastRenderedPageBreak/>
        <w:t>1.蚌埠第二中学2025年创新潜质特长生招生测试工作由蚌埠市教育局统一组织，蚌埠第二中学具体实施。</w:t>
      </w:r>
    </w:p>
    <w:p w:rsidR="00544C2C" w:rsidRDefault="00544C2C" w:rsidP="00544C2C">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2.测试科目与分值：语文120分、英语100分、数学150分、物理100分、历史50分。</w:t>
      </w:r>
    </w:p>
    <w:p w:rsidR="00544C2C" w:rsidRDefault="00544C2C" w:rsidP="00544C2C">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3.测试方式：闭卷笔试。</w:t>
      </w:r>
    </w:p>
    <w:p w:rsidR="00544C2C" w:rsidRDefault="00544C2C" w:rsidP="00544C2C">
      <w:pPr>
        <w:widowControl/>
        <w:shd w:val="clear" w:color="auto" w:fill="FFFFFF"/>
        <w:spacing w:line="560" w:lineRule="exact"/>
        <w:ind w:firstLineChars="200" w:firstLine="640"/>
        <w:jc w:val="left"/>
        <w:rPr>
          <w:rFonts w:ascii="仿宋" w:eastAsia="仿宋" w:hAnsi="仿宋" w:cs="微软雅黑"/>
          <w:kern w:val="0"/>
          <w:sz w:val="32"/>
          <w:szCs w:val="32"/>
        </w:rPr>
      </w:pPr>
      <w:r>
        <w:rPr>
          <w:rFonts w:ascii="仿宋" w:eastAsia="仿宋" w:hAnsi="仿宋" w:cs="宋体" w:hint="eastAsia"/>
          <w:kern w:val="0"/>
          <w:sz w:val="32"/>
          <w:szCs w:val="32"/>
          <w:shd w:val="clear" w:color="auto" w:fill="FFFFFF"/>
        </w:rPr>
        <w:t>4.测试时间及科目：</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90"/>
        <w:gridCol w:w="3210"/>
        <w:gridCol w:w="3420"/>
      </w:tblGrid>
      <w:tr w:rsidR="00544C2C" w:rsidTr="006E6E13">
        <w:trPr>
          <w:trHeight w:val="480"/>
          <w:tblCellSpacing w:w="0" w:type="dxa"/>
          <w:jc w:val="center"/>
        </w:trPr>
        <w:tc>
          <w:tcPr>
            <w:tcW w:w="159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日 期</w:t>
            </w:r>
          </w:p>
        </w:tc>
        <w:tc>
          <w:tcPr>
            <w:tcW w:w="6630" w:type="dxa"/>
            <w:gridSpan w:val="2"/>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2025年6月</w:t>
            </w:r>
            <w:r>
              <w:rPr>
                <w:rFonts w:ascii="仿宋" w:eastAsia="仿宋" w:hAnsi="仿宋" w:cs="宋体"/>
                <w:kern w:val="0"/>
                <w:sz w:val="32"/>
                <w:szCs w:val="32"/>
              </w:rPr>
              <w:t>2</w:t>
            </w:r>
            <w:r>
              <w:rPr>
                <w:rFonts w:ascii="仿宋" w:eastAsia="仿宋" w:hAnsi="仿宋" w:cs="宋体" w:hint="eastAsia"/>
                <w:kern w:val="0"/>
                <w:sz w:val="32"/>
                <w:szCs w:val="32"/>
              </w:rPr>
              <w:t>1日</w:t>
            </w:r>
          </w:p>
        </w:tc>
      </w:tr>
      <w:tr w:rsidR="00544C2C" w:rsidTr="006E6E13">
        <w:trPr>
          <w:trHeight w:val="480"/>
          <w:tblCellSpacing w:w="0" w:type="dxa"/>
          <w:jc w:val="center"/>
        </w:trPr>
        <w:tc>
          <w:tcPr>
            <w:tcW w:w="159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午 别</w:t>
            </w:r>
          </w:p>
        </w:tc>
        <w:tc>
          <w:tcPr>
            <w:tcW w:w="321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时</w:t>
            </w:r>
            <w:r>
              <w:rPr>
                <w:rFonts w:ascii="Calibri" w:eastAsia="仿宋" w:hAnsi="Calibri" w:cs="Calibri"/>
                <w:kern w:val="0"/>
                <w:sz w:val="32"/>
                <w:szCs w:val="32"/>
              </w:rPr>
              <w:t>  </w:t>
            </w:r>
            <w:r>
              <w:rPr>
                <w:rFonts w:ascii="仿宋" w:eastAsia="仿宋" w:hAnsi="仿宋" w:cs="宋体" w:hint="eastAsia"/>
                <w:kern w:val="0"/>
                <w:sz w:val="32"/>
                <w:szCs w:val="32"/>
              </w:rPr>
              <w:t xml:space="preserve"> 间</w:t>
            </w:r>
          </w:p>
        </w:tc>
        <w:tc>
          <w:tcPr>
            <w:tcW w:w="342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科</w:t>
            </w:r>
            <w:r>
              <w:rPr>
                <w:rFonts w:ascii="Calibri" w:eastAsia="仿宋" w:hAnsi="Calibri" w:cs="Calibri"/>
                <w:kern w:val="0"/>
                <w:sz w:val="32"/>
                <w:szCs w:val="32"/>
              </w:rPr>
              <w:t> </w:t>
            </w:r>
            <w:r>
              <w:rPr>
                <w:rFonts w:ascii="仿宋" w:eastAsia="仿宋" w:hAnsi="仿宋" w:cs="宋体" w:hint="eastAsia"/>
                <w:kern w:val="0"/>
                <w:sz w:val="32"/>
                <w:szCs w:val="32"/>
              </w:rPr>
              <w:t xml:space="preserve"> 目</w:t>
            </w:r>
          </w:p>
        </w:tc>
      </w:tr>
      <w:tr w:rsidR="00544C2C" w:rsidTr="006E6E13">
        <w:trPr>
          <w:trHeight w:val="480"/>
          <w:tblCellSpacing w:w="0" w:type="dxa"/>
          <w:jc w:val="center"/>
        </w:trPr>
        <w:tc>
          <w:tcPr>
            <w:tcW w:w="1590" w:type="dxa"/>
            <w:vMerge w:val="restart"/>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上 午</w:t>
            </w:r>
          </w:p>
        </w:tc>
        <w:tc>
          <w:tcPr>
            <w:tcW w:w="321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7：30—9：30</w:t>
            </w:r>
          </w:p>
        </w:tc>
        <w:tc>
          <w:tcPr>
            <w:tcW w:w="342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语文</w:t>
            </w:r>
          </w:p>
        </w:tc>
      </w:tr>
      <w:tr w:rsidR="00544C2C" w:rsidTr="006E6E13">
        <w:trPr>
          <w:trHeight w:val="480"/>
          <w:tblCellSpacing w:w="0" w:type="dxa"/>
          <w:jc w:val="center"/>
        </w:trPr>
        <w:tc>
          <w:tcPr>
            <w:tcW w:w="1590" w:type="dxa"/>
            <w:vMerge/>
            <w:shd w:val="clear" w:color="auto" w:fill="FFFFFF"/>
            <w:tcMar>
              <w:left w:w="105" w:type="dxa"/>
              <w:right w:w="105" w:type="dxa"/>
            </w:tcMar>
            <w:vAlign w:val="center"/>
          </w:tcPr>
          <w:p w:rsidR="00544C2C" w:rsidRDefault="00544C2C" w:rsidP="006E6E13">
            <w:pPr>
              <w:spacing w:line="560" w:lineRule="exact"/>
              <w:jc w:val="center"/>
              <w:rPr>
                <w:rFonts w:ascii="仿宋" w:eastAsia="仿宋" w:hAnsi="仿宋" w:cs="微软雅黑"/>
                <w:sz w:val="32"/>
                <w:szCs w:val="32"/>
              </w:rPr>
            </w:pPr>
          </w:p>
        </w:tc>
        <w:tc>
          <w:tcPr>
            <w:tcW w:w="321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9：50—11：50</w:t>
            </w:r>
          </w:p>
        </w:tc>
        <w:tc>
          <w:tcPr>
            <w:tcW w:w="342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数学</w:t>
            </w:r>
          </w:p>
        </w:tc>
      </w:tr>
      <w:tr w:rsidR="00544C2C" w:rsidTr="006E6E13">
        <w:trPr>
          <w:trHeight w:val="480"/>
          <w:tblCellSpacing w:w="0" w:type="dxa"/>
          <w:jc w:val="center"/>
        </w:trPr>
        <w:tc>
          <w:tcPr>
            <w:tcW w:w="1590" w:type="dxa"/>
            <w:vMerge w:val="restart"/>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下 午</w:t>
            </w:r>
          </w:p>
        </w:tc>
        <w:tc>
          <w:tcPr>
            <w:tcW w:w="321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2：00—3：30</w:t>
            </w:r>
          </w:p>
        </w:tc>
        <w:tc>
          <w:tcPr>
            <w:tcW w:w="342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英语</w:t>
            </w:r>
          </w:p>
        </w:tc>
      </w:tr>
      <w:tr w:rsidR="00544C2C" w:rsidTr="006E6E13">
        <w:trPr>
          <w:trHeight w:val="480"/>
          <w:tblCellSpacing w:w="0" w:type="dxa"/>
          <w:jc w:val="center"/>
        </w:trPr>
        <w:tc>
          <w:tcPr>
            <w:tcW w:w="1590" w:type="dxa"/>
            <w:vMerge/>
            <w:shd w:val="clear" w:color="auto" w:fill="FFFFFF"/>
            <w:tcMar>
              <w:left w:w="105" w:type="dxa"/>
              <w:right w:w="105" w:type="dxa"/>
            </w:tcMar>
            <w:vAlign w:val="center"/>
          </w:tcPr>
          <w:p w:rsidR="00544C2C" w:rsidRDefault="00544C2C" w:rsidP="006E6E13">
            <w:pPr>
              <w:spacing w:line="560" w:lineRule="exact"/>
              <w:jc w:val="center"/>
              <w:rPr>
                <w:rFonts w:ascii="仿宋" w:eastAsia="仿宋" w:hAnsi="仿宋" w:cs="微软雅黑"/>
                <w:sz w:val="32"/>
                <w:szCs w:val="32"/>
              </w:rPr>
            </w:pPr>
          </w:p>
        </w:tc>
        <w:tc>
          <w:tcPr>
            <w:tcW w:w="321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3：50—5：20</w:t>
            </w:r>
          </w:p>
        </w:tc>
        <w:tc>
          <w:tcPr>
            <w:tcW w:w="342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Times New Roman"/>
                <w:kern w:val="0"/>
                <w:sz w:val="32"/>
                <w:szCs w:val="32"/>
              </w:rPr>
            </w:pPr>
            <w:r>
              <w:rPr>
                <w:rFonts w:ascii="仿宋" w:eastAsia="仿宋" w:hAnsi="仿宋" w:cs="宋体" w:hint="eastAsia"/>
                <w:kern w:val="0"/>
                <w:sz w:val="32"/>
                <w:szCs w:val="32"/>
              </w:rPr>
              <w:t>物理</w:t>
            </w:r>
          </w:p>
        </w:tc>
      </w:tr>
      <w:tr w:rsidR="00544C2C" w:rsidTr="006E6E13">
        <w:trPr>
          <w:trHeight w:val="480"/>
          <w:tblCellSpacing w:w="0" w:type="dxa"/>
          <w:jc w:val="center"/>
        </w:trPr>
        <w:tc>
          <w:tcPr>
            <w:tcW w:w="1590" w:type="dxa"/>
            <w:vMerge/>
            <w:shd w:val="clear" w:color="auto" w:fill="FFFFFF"/>
            <w:tcMar>
              <w:left w:w="105" w:type="dxa"/>
              <w:right w:w="105" w:type="dxa"/>
            </w:tcMar>
            <w:vAlign w:val="center"/>
          </w:tcPr>
          <w:p w:rsidR="00544C2C" w:rsidRDefault="00544C2C" w:rsidP="006E6E13">
            <w:pPr>
              <w:spacing w:line="560" w:lineRule="exact"/>
              <w:jc w:val="center"/>
              <w:rPr>
                <w:rFonts w:ascii="仿宋" w:eastAsia="仿宋" w:hAnsi="仿宋" w:cs="微软雅黑"/>
                <w:sz w:val="32"/>
                <w:szCs w:val="32"/>
              </w:rPr>
            </w:pPr>
          </w:p>
        </w:tc>
        <w:tc>
          <w:tcPr>
            <w:tcW w:w="321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宋体"/>
                <w:kern w:val="0"/>
                <w:sz w:val="32"/>
                <w:szCs w:val="32"/>
              </w:rPr>
            </w:pPr>
            <w:r>
              <w:rPr>
                <w:rFonts w:ascii="仿宋" w:eastAsia="仿宋" w:hAnsi="仿宋" w:cs="宋体"/>
                <w:kern w:val="0"/>
                <w:sz w:val="32"/>
                <w:szCs w:val="32"/>
              </w:rPr>
              <w:t>3: 50</w:t>
            </w:r>
            <w:r>
              <w:rPr>
                <w:rFonts w:ascii="仿宋" w:eastAsia="仿宋" w:hAnsi="仿宋" w:cs="宋体" w:hint="eastAsia"/>
                <w:kern w:val="0"/>
                <w:sz w:val="32"/>
                <w:szCs w:val="32"/>
              </w:rPr>
              <w:t>—</w:t>
            </w:r>
            <w:r>
              <w:rPr>
                <w:rFonts w:ascii="仿宋" w:eastAsia="仿宋" w:hAnsi="仿宋" w:cs="宋体"/>
                <w:kern w:val="0"/>
                <w:sz w:val="32"/>
                <w:szCs w:val="32"/>
              </w:rPr>
              <w:t>4:40</w:t>
            </w:r>
          </w:p>
        </w:tc>
        <w:tc>
          <w:tcPr>
            <w:tcW w:w="3420" w:type="dxa"/>
            <w:shd w:val="clear" w:color="auto" w:fill="FFFFFF"/>
            <w:tcMar>
              <w:left w:w="105" w:type="dxa"/>
              <w:right w:w="105" w:type="dxa"/>
            </w:tcMar>
            <w:vAlign w:val="center"/>
          </w:tcPr>
          <w:p w:rsidR="00544C2C" w:rsidRDefault="00544C2C" w:rsidP="006E6E13">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历史</w:t>
            </w:r>
          </w:p>
        </w:tc>
      </w:tr>
    </w:tbl>
    <w:p w:rsidR="00544C2C" w:rsidRDefault="00544C2C" w:rsidP="00544C2C">
      <w:pPr>
        <w:widowControl/>
        <w:shd w:val="clear" w:color="auto" w:fill="FFFFFF"/>
        <w:spacing w:line="560" w:lineRule="exact"/>
        <w:ind w:firstLine="645"/>
        <w:jc w:val="left"/>
        <w:rPr>
          <w:rFonts w:ascii="仿宋" w:eastAsia="仿宋" w:hAnsi="仿宋" w:cs="微软雅黑"/>
          <w:kern w:val="0"/>
          <w:sz w:val="32"/>
          <w:szCs w:val="32"/>
        </w:rPr>
      </w:pPr>
      <w:r>
        <w:rPr>
          <w:rFonts w:ascii="仿宋" w:eastAsia="仿宋" w:hAnsi="仿宋" w:cs="宋体" w:hint="eastAsia"/>
          <w:kern w:val="0"/>
          <w:sz w:val="32"/>
          <w:szCs w:val="32"/>
          <w:shd w:val="clear" w:color="auto" w:fill="FFFFFF"/>
        </w:rPr>
        <w:t>5.测试范围：初中学科素养。</w:t>
      </w:r>
    </w:p>
    <w:p w:rsidR="00544C2C" w:rsidRDefault="00544C2C" w:rsidP="00544C2C">
      <w:pPr>
        <w:widowControl/>
        <w:shd w:val="clear" w:color="auto" w:fill="FFFFFF"/>
        <w:spacing w:line="560" w:lineRule="exact"/>
        <w:ind w:firstLine="645"/>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6.考场设置：蚌埠第二中学校园内。</w:t>
      </w:r>
    </w:p>
    <w:p w:rsidR="00544C2C" w:rsidRDefault="00544C2C" w:rsidP="00544C2C">
      <w:pPr>
        <w:widowControl/>
        <w:shd w:val="clear" w:color="auto" w:fill="FFFFFF"/>
        <w:spacing w:line="560" w:lineRule="exact"/>
        <w:ind w:firstLine="645"/>
        <w:jc w:val="left"/>
        <w:rPr>
          <w:rFonts w:ascii="仿宋" w:eastAsia="仿宋" w:hAnsi="仿宋" w:cs="宋体"/>
          <w:kern w:val="0"/>
          <w:sz w:val="32"/>
          <w:szCs w:val="32"/>
          <w:shd w:val="clear" w:color="auto" w:fill="FFFFFF"/>
        </w:rPr>
      </w:pPr>
      <w:r>
        <w:rPr>
          <w:rFonts w:ascii="仿宋" w:eastAsia="仿宋" w:hAnsi="仿宋" w:cs="宋体"/>
          <w:kern w:val="0"/>
          <w:sz w:val="32"/>
          <w:szCs w:val="32"/>
          <w:shd w:val="clear" w:color="auto" w:fill="FFFFFF"/>
        </w:rPr>
        <w:t>7</w:t>
      </w:r>
      <w:r>
        <w:rPr>
          <w:rFonts w:ascii="仿宋" w:eastAsia="仿宋" w:hAnsi="仿宋" w:cs="宋体" w:hint="eastAsia"/>
          <w:kern w:val="0"/>
          <w:sz w:val="32"/>
          <w:szCs w:val="32"/>
          <w:shd w:val="clear" w:color="auto" w:fill="FFFFFF"/>
        </w:rPr>
        <w:t>.成绩查询及查分申请：阅卷工作结束后，我校将成绩上传至特长生报名系统，考生可登录报名系统查看考试成绩。同时，我校将在学校官方网站发布查分通知。</w:t>
      </w:r>
    </w:p>
    <w:p w:rsidR="00544C2C" w:rsidRDefault="00544C2C" w:rsidP="00544C2C">
      <w:pPr>
        <w:widowControl/>
        <w:shd w:val="clear" w:color="auto" w:fill="FFFFFF"/>
        <w:spacing w:line="560" w:lineRule="exact"/>
        <w:ind w:firstLine="645"/>
        <w:jc w:val="left"/>
        <w:rPr>
          <w:rFonts w:ascii="黑体" w:eastAsia="黑体" w:hAnsi="黑体" w:cs="宋体"/>
          <w:kern w:val="0"/>
          <w:sz w:val="32"/>
          <w:szCs w:val="32"/>
          <w:shd w:val="clear" w:color="auto" w:fill="FFFFFF"/>
        </w:rPr>
      </w:pPr>
      <w:r>
        <w:rPr>
          <w:rFonts w:ascii="黑体" w:eastAsia="黑体" w:hAnsi="黑体" w:cs="宋体" w:hint="eastAsia"/>
          <w:kern w:val="0"/>
          <w:sz w:val="32"/>
          <w:szCs w:val="32"/>
          <w:shd w:val="clear" w:color="auto" w:fill="FFFFFF"/>
        </w:rPr>
        <w:t>六、入围公示</w:t>
      </w:r>
    </w:p>
    <w:p w:rsidR="00544C2C" w:rsidRDefault="00544C2C" w:rsidP="00544C2C">
      <w:pPr>
        <w:widowControl/>
        <w:shd w:val="clear" w:color="auto" w:fill="FFFFFF"/>
        <w:spacing w:line="560" w:lineRule="exact"/>
        <w:ind w:firstLine="645"/>
        <w:jc w:val="left"/>
        <w:rPr>
          <w:rFonts w:ascii="仿宋" w:eastAsia="仿宋" w:hAnsi="仿宋"/>
          <w:sz w:val="32"/>
          <w:szCs w:val="32"/>
        </w:rPr>
      </w:pPr>
      <w:r>
        <w:rPr>
          <w:rFonts w:ascii="仿宋" w:eastAsia="仿宋" w:hAnsi="仿宋"/>
          <w:sz w:val="32"/>
          <w:szCs w:val="32"/>
        </w:rPr>
        <w:t>1.报考物理方向创新潜质生的考生根据四科总分1:1.5比例确定入围名单；若总分相同，依次按数学、物理、语文、英语单科成绩从高到低择优入围；</w:t>
      </w:r>
    </w:p>
    <w:p w:rsidR="00544C2C" w:rsidRDefault="00544C2C" w:rsidP="00544C2C">
      <w:pPr>
        <w:widowControl/>
        <w:ind w:firstLine="420"/>
        <w:jc w:val="left"/>
        <w:rPr>
          <w:rFonts w:ascii="仿宋" w:eastAsia="仿宋" w:hAnsi="仿宋"/>
          <w:sz w:val="32"/>
          <w:szCs w:val="32"/>
        </w:rPr>
      </w:pPr>
      <w:r>
        <w:rPr>
          <w:rFonts w:ascii="仿宋" w:eastAsia="仿宋" w:hAnsi="仿宋" w:hint="eastAsia"/>
          <w:sz w:val="32"/>
          <w:szCs w:val="32"/>
        </w:rPr>
        <w:lastRenderedPageBreak/>
        <w:t>2.报考历史方向创新潜质生的考生根据四科总分1:1.5比例确定入围名单，若总分相同，则依次按数学、语文、英语、历史单科成绩从高到低择优入围；</w:t>
      </w:r>
    </w:p>
    <w:p w:rsidR="00544C2C" w:rsidRDefault="00544C2C" w:rsidP="00544C2C">
      <w:pPr>
        <w:widowControl/>
        <w:ind w:firstLine="420"/>
        <w:jc w:val="left"/>
        <w:rPr>
          <w:rFonts w:ascii="仿宋" w:eastAsia="仿宋" w:hAnsi="仿宋"/>
          <w:sz w:val="32"/>
          <w:szCs w:val="32"/>
        </w:rPr>
      </w:pPr>
      <w:r>
        <w:rPr>
          <w:rFonts w:ascii="仿宋" w:eastAsia="仿宋" w:hAnsi="仿宋" w:hint="eastAsia"/>
          <w:sz w:val="32"/>
          <w:szCs w:val="32"/>
        </w:rPr>
        <w:t>3.查分结束后，我校将在蚌埠第二中学网站和公众号公示入围名单。</w:t>
      </w:r>
    </w:p>
    <w:p w:rsidR="00544C2C" w:rsidRDefault="00544C2C" w:rsidP="00544C2C">
      <w:pPr>
        <w:widowControl/>
        <w:jc w:val="left"/>
        <w:rPr>
          <w:rFonts w:ascii="仿宋" w:eastAsia="仿宋" w:hAnsi="仿宋"/>
          <w:sz w:val="32"/>
          <w:szCs w:val="32"/>
        </w:rPr>
      </w:pPr>
      <w:r>
        <w:rPr>
          <w:rFonts w:ascii="黑体" w:eastAsia="黑体" w:hAnsi="黑体" w:cs="宋体" w:hint="eastAsia"/>
          <w:kern w:val="0"/>
          <w:sz w:val="32"/>
          <w:szCs w:val="32"/>
          <w:shd w:val="clear" w:color="auto" w:fill="FFFFFF"/>
        </w:rPr>
        <w:t>七、志愿填报</w:t>
      </w:r>
    </w:p>
    <w:p w:rsidR="00544C2C" w:rsidRDefault="00544C2C" w:rsidP="00544C2C">
      <w:pPr>
        <w:ind w:firstLine="420"/>
        <w:rPr>
          <w:rFonts w:ascii="仿宋" w:eastAsia="仿宋" w:hAnsi="仿宋"/>
          <w:sz w:val="32"/>
          <w:szCs w:val="32"/>
        </w:rPr>
      </w:pPr>
      <w:r>
        <w:rPr>
          <w:rFonts w:ascii="仿宋" w:eastAsia="仿宋" w:hAnsi="仿宋" w:hint="eastAsia"/>
          <w:sz w:val="32"/>
          <w:szCs w:val="32"/>
        </w:rPr>
        <w:t>报考蚌埠第二中学创新潜质生的考生在中考志愿填报时必须填报相应志愿，否则不予录取。</w:t>
      </w:r>
    </w:p>
    <w:p w:rsidR="00544C2C" w:rsidRDefault="00544C2C" w:rsidP="00544C2C">
      <w:pPr>
        <w:widowControl/>
        <w:jc w:val="left"/>
        <w:rPr>
          <w:rFonts w:ascii="仿宋" w:eastAsia="仿宋" w:hAnsi="仿宋"/>
          <w:sz w:val="32"/>
          <w:szCs w:val="32"/>
        </w:rPr>
      </w:pPr>
      <w:r>
        <w:rPr>
          <w:rFonts w:ascii="黑体" w:eastAsia="黑体" w:hAnsi="黑体" w:cs="宋体" w:hint="eastAsia"/>
          <w:kern w:val="0"/>
          <w:sz w:val="32"/>
          <w:szCs w:val="32"/>
          <w:shd w:val="clear" w:color="auto" w:fill="FFFFFF"/>
        </w:rPr>
        <w:t>八、录取办法</w:t>
      </w:r>
    </w:p>
    <w:p w:rsidR="00544C2C" w:rsidRDefault="00544C2C" w:rsidP="00544C2C">
      <w:pPr>
        <w:ind w:firstLine="420"/>
        <w:rPr>
          <w:rFonts w:ascii="仿宋" w:eastAsia="仿宋" w:hAnsi="仿宋"/>
          <w:sz w:val="32"/>
          <w:szCs w:val="32"/>
        </w:rPr>
      </w:pPr>
      <w:r>
        <w:rPr>
          <w:rFonts w:ascii="仿宋" w:eastAsia="仿宋" w:hAnsi="仿宋" w:hint="eastAsia"/>
          <w:sz w:val="32"/>
          <w:szCs w:val="32"/>
        </w:rPr>
        <w:t>1. 2025年初中毕业学业考试成绩不低于全市普通高中最低录取分数线；</w:t>
      </w:r>
    </w:p>
    <w:p w:rsidR="00544C2C" w:rsidRDefault="00544C2C" w:rsidP="00544C2C">
      <w:pPr>
        <w:ind w:firstLine="420"/>
        <w:rPr>
          <w:rFonts w:ascii="仿宋" w:eastAsia="仿宋" w:hAnsi="仿宋"/>
          <w:sz w:val="32"/>
          <w:szCs w:val="32"/>
        </w:rPr>
      </w:pPr>
      <w:r>
        <w:rPr>
          <w:rFonts w:ascii="仿宋" w:eastAsia="仿宋" w:hAnsi="仿宋" w:hint="eastAsia"/>
          <w:sz w:val="32"/>
          <w:szCs w:val="32"/>
        </w:rPr>
        <w:t>2.市教育考试院根据蚌埠第二中学创新潜质生计划数，分物理方向和历史方向按入围排名顺序录取。</w:t>
      </w:r>
    </w:p>
    <w:p w:rsidR="00544C2C" w:rsidRDefault="00544C2C" w:rsidP="00544C2C">
      <w:pPr>
        <w:rPr>
          <w:rFonts w:ascii="黑体" w:eastAsia="黑体" w:hAnsi="黑体" w:cs="宋体"/>
          <w:kern w:val="0"/>
          <w:sz w:val="32"/>
          <w:szCs w:val="32"/>
          <w:shd w:val="clear" w:color="auto" w:fill="FFFFFF"/>
        </w:rPr>
      </w:pPr>
      <w:r>
        <w:rPr>
          <w:rFonts w:ascii="黑体" w:eastAsia="黑体" w:hAnsi="黑体" w:cs="宋体" w:hint="eastAsia"/>
          <w:kern w:val="0"/>
          <w:sz w:val="32"/>
          <w:szCs w:val="32"/>
          <w:shd w:val="clear" w:color="auto" w:fill="FFFFFF"/>
        </w:rPr>
        <w:t>九、其他事宜</w:t>
      </w:r>
    </w:p>
    <w:p w:rsidR="00544C2C" w:rsidRDefault="00544C2C" w:rsidP="00544C2C">
      <w:pPr>
        <w:ind w:firstLine="420"/>
        <w:rPr>
          <w:rFonts w:ascii="仿宋" w:eastAsia="仿宋" w:hAnsi="仿宋"/>
          <w:sz w:val="32"/>
          <w:szCs w:val="32"/>
        </w:rPr>
      </w:pPr>
      <w:r>
        <w:rPr>
          <w:rFonts w:ascii="仿宋" w:eastAsia="仿宋" w:hAnsi="仿宋" w:hint="eastAsia"/>
          <w:sz w:val="32"/>
          <w:szCs w:val="32"/>
        </w:rPr>
        <w:t>1.考生入校后编入相应的博雅班，学校将根据其学科特长，开展相应的强基计划培训。</w:t>
      </w:r>
    </w:p>
    <w:p w:rsidR="00544C2C" w:rsidRDefault="00544C2C" w:rsidP="00544C2C">
      <w:pPr>
        <w:ind w:firstLine="420"/>
        <w:rPr>
          <w:rFonts w:ascii="仿宋" w:eastAsia="仿宋" w:hAnsi="仿宋"/>
          <w:sz w:val="32"/>
          <w:szCs w:val="32"/>
        </w:rPr>
      </w:pPr>
      <w:r>
        <w:rPr>
          <w:rFonts w:ascii="仿宋" w:eastAsia="仿宋" w:hAnsi="仿宋" w:hint="eastAsia"/>
          <w:sz w:val="32"/>
          <w:szCs w:val="32"/>
        </w:rPr>
        <w:t>2.物理方向和历史方向创新潜质生入围后，考生须与学校签订协议书和承诺书，录取后不可以调整选科方向和班级。</w:t>
      </w:r>
    </w:p>
    <w:p w:rsidR="00544C2C" w:rsidRDefault="00544C2C" w:rsidP="00544C2C">
      <w:pPr>
        <w:ind w:firstLine="420"/>
        <w:rPr>
          <w:rFonts w:ascii="仿宋" w:eastAsia="仿宋" w:hAnsi="仿宋"/>
          <w:sz w:val="32"/>
          <w:szCs w:val="32"/>
        </w:rPr>
      </w:pPr>
      <w:r>
        <w:rPr>
          <w:rFonts w:ascii="仿宋" w:eastAsia="仿宋" w:hAnsi="仿宋" w:hint="eastAsia"/>
          <w:sz w:val="32"/>
          <w:szCs w:val="32"/>
        </w:rPr>
        <w:t>3.对于未入围的考生，如中考录取到我校，其创新潜质考试成绩可作为我校博雅班分班依据之一。具体见我校网站招生政策解读。</w:t>
      </w:r>
    </w:p>
    <w:p w:rsidR="003852E8" w:rsidRPr="00544C2C" w:rsidRDefault="003852E8"/>
    <w:sectPr w:rsidR="003852E8" w:rsidRPr="00544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rif">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2C"/>
    <w:rsid w:val="003852E8"/>
    <w:rsid w:val="0054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7A31F-22F0-4D5D-8F4C-7E8D45A2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C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44C2C"/>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2025-06-10T23:18:00Z</dcterms:created>
  <dcterms:modified xsi:type="dcterms:W3CDTF">2025-06-10T23:19:00Z</dcterms:modified>
</cp:coreProperties>
</file>