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76" w:rsidRDefault="00231176" w:rsidP="00231176">
      <w:pPr>
        <w:spacing w:line="560" w:lineRule="exact"/>
        <w:rPr>
          <w:rFonts w:ascii="仿宋" w:eastAsia="仿宋" w:hAnsi="仿宋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sz w:val="32"/>
          <w:szCs w:val="32"/>
        </w:rPr>
        <w:t>附件5：</w:t>
      </w:r>
    </w:p>
    <w:p w:rsidR="00231176" w:rsidRDefault="00231176" w:rsidP="00231176">
      <w:pPr>
        <w:widowControl/>
        <w:jc w:val="center"/>
        <w:textAlignment w:val="baseline"/>
        <w:rPr>
          <w:rFonts w:ascii="华文中宋" w:eastAsia="华文中宋" w:hAnsi="华文中宋" w:cs="Times New Roman"/>
          <w:kern w:val="0"/>
          <w:sz w:val="32"/>
          <w:szCs w:val="32"/>
        </w:rPr>
      </w:pPr>
      <w:r>
        <w:rPr>
          <w:rFonts w:ascii="华文中宋" w:eastAsia="华文中宋" w:hAnsi="华文中宋" w:cs="Times New Roman"/>
          <w:b/>
          <w:sz w:val="36"/>
          <w:szCs w:val="36"/>
        </w:rPr>
        <w:t>202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5</w:t>
      </w:r>
      <w:r>
        <w:rPr>
          <w:rFonts w:ascii="华文中宋" w:eastAsia="华文中宋" w:hAnsi="华文中宋" w:cs="Times New Roman"/>
          <w:b/>
          <w:sz w:val="36"/>
          <w:szCs w:val="36"/>
        </w:rPr>
        <w:t>年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蚌埠第二中学</w:t>
      </w:r>
      <w:r>
        <w:rPr>
          <w:rFonts w:ascii="华文中宋" w:eastAsia="华文中宋" w:hAnsi="华文中宋" w:cs="Times New Roman"/>
          <w:b/>
          <w:sz w:val="36"/>
          <w:szCs w:val="36"/>
        </w:rPr>
        <w:t>乒乓球特长生招生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实施办法</w:t>
      </w:r>
    </w:p>
    <w:bookmarkEnd w:id="0"/>
    <w:p w:rsidR="00231176" w:rsidRDefault="00231176" w:rsidP="00231176">
      <w:pPr>
        <w:widowControl/>
        <w:ind w:firstLineChars="200" w:firstLine="640"/>
        <w:jc w:val="left"/>
        <w:textAlignment w:val="baseline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根据蚌埠市教育局2025年高中招生工作相关文件精神，结合我校实际，特制定蚌埠第二中学乒乓球特长生招生实施办法。</w:t>
      </w:r>
    </w:p>
    <w:p w:rsidR="00231176" w:rsidRDefault="00231176" w:rsidP="00231176">
      <w:pPr>
        <w:widowControl/>
        <w:spacing w:line="540" w:lineRule="exact"/>
        <w:ind w:firstLineChars="200" w:firstLine="640"/>
        <w:textAlignment w:val="baseline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一、招生原则</w:t>
      </w:r>
    </w:p>
    <w:p w:rsidR="00231176" w:rsidRDefault="00231176" w:rsidP="00231176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微软雅黑"/>
          <w:kern w:val="0"/>
          <w:sz w:val="32"/>
          <w:szCs w:val="32"/>
        </w:rPr>
      </w:pPr>
      <w:r>
        <w:rPr>
          <w:rFonts w:ascii="仿宋" w:eastAsia="仿宋" w:hAnsi="仿宋" w:cs="serif"/>
          <w:kern w:val="0"/>
          <w:sz w:val="32"/>
          <w:szCs w:val="32"/>
          <w:shd w:val="clear" w:color="auto" w:fill="FFFFFF"/>
        </w:rPr>
        <w:t>公开、公平、公正原则；考生自愿原则；择优录取原则。</w:t>
      </w:r>
    </w:p>
    <w:p w:rsidR="00231176" w:rsidRDefault="00231176" w:rsidP="00231176">
      <w:pPr>
        <w:widowControl/>
        <w:spacing w:line="540" w:lineRule="exact"/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二、招生计划</w:t>
      </w:r>
    </w:p>
    <w:p w:rsidR="00231176" w:rsidRDefault="00231176" w:rsidP="00231176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serif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serif" w:hint="eastAsia"/>
          <w:kern w:val="0"/>
          <w:sz w:val="32"/>
          <w:szCs w:val="32"/>
          <w:shd w:val="clear" w:color="auto" w:fill="FFFFFF"/>
        </w:rPr>
        <w:t>蚌埠第二中学乒乓球特长生招生</w:t>
      </w:r>
      <w:r>
        <w:rPr>
          <w:rFonts w:ascii="仿宋" w:eastAsia="仿宋" w:hAnsi="仿宋" w:cs="serif"/>
          <w:kern w:val="0"/>
          <w:sz w:val="32"/>
          <w:szCs w:val="32"/>
          <w:shd w:val="clear" w:color="auto" w:fill="FFFFFF"/>
        </w:rPr>
        <w:t>属提前批次招生，</w:t>
      </w:r>
      <w:r>
        <w:rPr>
          <w:rFonts w:ascii="仿宋" w:eastAsia="仿宋" w:hAnsi="仿宋" w:cs="serif" w:hint="eastAsia"/>
          <w:kern w:val="0"/>
          <w:sz w:val="32"/>
          <w:szCs w:val="32"/>
          <w:shd w:val="clear" w:color="auto" w:fill="FFFFFF"/>
        </w:rPr>
        <w:t>共计招收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serif" w:hint="eastAsia"/>
          <w:kern w:val="0"/>
          <w:sz w:val="32"/>
          <w:szCs w:val="32"/>
          <w:shd w:val="clear" w:color="auto" w:fill="FFFFFF"/>
        </w:rPr>
        <w:t>人，其中男生2人、女生1人。</w:t>
      </w:r>
    </w:p>
    <w:tbl>
      <w:tblPr>
        <w:tblW w:w="8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865"/>
        <w:gridCol w:w="5713"/>
      </w:tblGrid>
      <w:tr w:rsidR="00231176" w:rsidTr="006E6E13">
        <w:trPr>
          <w:trHeight w:val="662"/>
        </w:trPr>
        <w:tc>
          <w:tcPr>
            <w:tcW w:w="1286" w:type="dxa"/>
            <w:shd w:val="clear" w:color="auto" w:fill="D9D9D9"/>
            <w:vAlign w:val="center"/>
          </w:tcPr>
          <w:p w:rsidR="00231176" w:rsidRDefault="00231176" w:rsidP="006E6E13">
            <w:pPr>
              <w:snapToGrid w:val="0"/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b/>
                <w:bCs/>
                <w:sz w:val="28"/>
                <w:szCs w:val="28"/>
              </w:rPr>
              <w:t>招生</w:t>
            </w:r>
          </w:p>
          <w:p w:rsidR="00231176" w:rsidRDefault="00231176" w:rsidP="006E6E13">
            <w:pPr>
              <w:snapToGrid w:val="0"/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1865" w:type="dxa"/>
            <w:shd w:val="clear" w:color="auto" w:fill="D9D9D9"/>
            <w:vAlign w:val="center"/>
          </w:tcPr>
          <w:p w:rsidR="00231176" w:rsidRDefault="00231176" w:rsidP="006E6E13">
            <w:pPr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b/>
                <w:bCs/>
                <w:sz w:val="28"/>
                <w:szCs w:val="28"/>
              </w:rPr>
              <w:t>招生计划</w:t>
            </w:r>
          </w:p>
        </w:tc>
        <w:tc>
          <w:tcPr>
            <w:tcW w:w="5713" w:type="dxa"/>
            <w:shd w:val="clear" w:color="auto" w:fill="D9D9D9"/>
            <w:vAlign w:val="center"/>
          </w:tcPr>
          <w:p w:rsidR="00231176" w:rsidRDefault="00231176" w:rsidP="006E6E13">
            <w:pPr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231176" w:rsidTr="006E6E13">
        <w:trPr>
          <w:trHeight w:val="1039"/>
        </w:trPr>
        <w:tc>
          <w:tcPr>
            <w:tcW w:w="1286" w:type="dxa"/>
            <w:vMerge w:val="restart"/>
            <w:vAlign w:val="center"/>
          </w:tcPr>
          <w:p w:rsidR="00231176" w:rsidRDefault="00231176" w:rsidP="006E6E13">
            <w:pPr>
              <w:spacing w:line="54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乒乓球</w:t>
            </w:r>
          </w:p>
          <w:p w:rsidR="00231176" w:rsidRDefault="00231176" w:rsidP="006E6E13">
            <w:pPr>
              <w:spacing w:line="54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特长生</w:t>
            </w:r>
          </w:p>
        </w:tc>
        <w:tc>
          <w:tcPr>
            <w:tcW w:w="1865" w:type="dxa"/>
            <w:vAlign w:val="center"/>
          </w:tcPr>
          <w:p w:rsidR="00231176" w:rsidRDefault="00231176" w:rsidP="006E6E13">
            <w:pPr>
              <w:snapToGrid w:val="0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serif" w:hint="eastAsia"/>
                <w:kern w:val="0"/>
                <w:sz w:val="32"/>
                <w:szCs w:val="32"/>
                <w:shd w:val="clear" w:color="auto" w:fill="FFFFFF"/>
              </w:rPr>
              <w:t>2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人，男生</w:t>
            </w:r>
          </w:p>
        </w:tc>
        <w:tc>
          <w:tcPr>
            <w:tcW w:w="5713" w:type="dxa"/>
            <w:vMerge w:val="restart"/>
            <w:vAlign w:val="center"/>
          </w:tcPr>
          <w:p w:rsidR="00231176" w:rsidRDefault="00231176" w:rsidP="006E6E13">
            <w:pPr>
              <w:snapToGrid w:val="0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实际报名人数等于招生计划、小于招生计划并大于该项目招生计划 1/2 时，该项目招生计划相应核减为实际报名人数的 1/2;当实际报名数小于或等于该项目招生计划数的1/2 时，则取消该项目招生。</w:t>
            </w:r>
          </w:p>
        </w:tc>
      </w:tr>
      <w:tr w:rsidR="00231176" w:rsidTr="006E6E13">
        <w:trPr>
          <w:trHeight w:val="1039"/>
        </w:trPr>
        <w:tc>
          <w:tcPr>
            <w:tcW w:w="1286" w:type="dxa"/>
            <w:vMerge/>
            <w:vAlign w:val="center"/>
          </w:tcPr>
          <w:p w:rsidR="00231176" w:rsidRDefault="00231176" w:rsidP="006E6E13">
            <w:pPr>
              <w:spacing w:line="54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865" w:type="dxa"/>
            <w:vAlign w:val="center"/>
          </w:tcPr>
          <w:p w:rsidR="00231176" w:rsidRDefault="00231176" w:rsidP="006E6E13">
            <w:pPr>
              <w:snapToGrid w:val="0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serif" w:hint="eastAsia"/>
                <w:kern w:val="0"/>
                <w:sz w:val="32"/>
                <w:szCs w:val="32"/>
                <w:shd w:val="clear" w:color="auto" w:fill="FFFFFF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人，女生</w:t>
            </w:r>
          </w:p>
        </w:tc>
        <w:tc>
          <w:tcPr>
            <w:tcW w:w="5713" w:type="dxa"/>
            <w:vMerge/>
            <w:vAlign w:val="center"/>
          </w:tcPr>
          <w:p w:rsidR="00231176" w:rsidRDefault="00231176" w:rsidP="006E6E13">
            <w:pPr>
              <w:snapToGrid w:val="0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</w:tr>
    </w:tbl>
    <w:p w:rsidR="00231176" w:rsidRDefault="00231176" w:rsidP="00231176">
      <w:pPr>
        <w:widowControl/>
        <w:spacing w:line="540" w:lineRule="exact"/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三、招生条件</w:t>
      </w:r>
    </w:p>
    <w:p w:rsidR="00231176" w:rsidRDefault="00231176" w:rsidP="00231176">
      <w:pPr>
        <w:widowControl/>
        <w:ind w:firstLineChars="200" w:firstLine="640"/>
        <w:jc w:val="left"/>
        <w:textAlignment w:val="baseline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1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.</w:t>
      </w:r>
      <w:r>
        <w:rPr>
          <w:rFonts w:ascii="仿宋" w:eastAsia="仿宋" w:hAnsi="仿宋" w:cs="Times New Roman"/>
          <w:kern w:val="0"/>
          <w:sz w:val="32"/>
          <w:szCs w:val="32"/>
        </w:rPr>
        <w:t>蚌埠市（含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三县</w:t>
      </w:r>
      <w:r>
        <w:rPr>
          <w:rFonts w:ascii="仿宋" w:eastAsia="仿宋" w:hAnsi="仿宋" w:cs="Times New Roman"/>
          <w:kern w:val="0"/>
          <w:sz w:val="32"/>
          <w:szCs w:val="32"/>
        </w:rPr>
        <w:t>）202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5</w:t>
      </w:r>
      <w:r>
        <w:rPr>
          <w:rFonts w:ascii="仿宋" w:eastAsia="仿宋" w:hAnsi="仿宋" w:cs="Times New Roman"/>
          <w:kern w:val="0"/>
          <w:sz w:val="32"/>
          <w:szCs w:val="32"/>
        </w:rPr>
        <w:t>年初中应届毕业生。</w:t>
      </w:r>
    </w:p>
    <w:p w:rsidR="00231176" w:rsidRDefault="00231176" w:rsidP="00231176">
      <w:pPr>
        <w:widowControl/>
        <w:ind w:firstLineChars="200" w:firstLine="640"/>
        <w:jc w:val="left"/>
        <w:textAlignment w:val="baseline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2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.</w:t>
      </w:r>
      <w:r>
        <w:rPr>
          <w:rFonts w:ascii="仿宋" w:eastAsia="仿宋" w:hAnsi="仿宋" w:cs="Times New Roman"/>
          <w:kern w:val="0"/>
          <w:sz w:val="32"/>
          <w:szCs w:val="32"/>
        </w:rPr>
        <w:t>在初中阶段获得由国家、省或市教育、体育行政部门主办的比赛前六名证书（单项或团体）。</w:t>
      </w:r>
    </w:p>
    <w:p w:rsidR="00231176" w:rsidRDefault="00231176" w:rsidP="00231176">
      <w:pPr>
        <w:widowControl/>
        <w:ind w:firstLineChars="200" w:firstLine="640"/>
        <w:jc w:val="left"/>
        <w:textAlignment w:val="baseline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3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.</w:t>
      </w:r>
      <w:r>
        <w:rPr>
          <w:rFonts w:ascii="仿宋" w:eastAsia="仿宋" w:hAnsi="仿宋" w:cs="Times New Roman"/>
          <w:kern w:val="0"/>
          <w:sz w:val="32"/>
          <w:szCs w:val="32"/>
        </w:rPr>
        <w:t>体育中考成绩须达到50分及以上（毕业学校提供证明）。</w:t>
      </w:r>
    </w:p>
    <w:p w:rsidR="00231176" w:rsidRDefault="00231176" w:rsidP="00231176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4.综合素质评价结果达B等及以上。</w:t>
      </w:r>
    </w:p>
    <w:p w:rsidR="00231176" w:rsidRDefault="00231176" w:rsidP="00231176">
      <w:pPr>
        <w:widowControl/>
        <w:spacing w:line="540" w:lineRule="exact"/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lastRenderedPageBreak/>
        <w:t>四、报名程序</w:t>
      </w:r>
    </w:p>
    <w:p w:rsidR="00231176" w:rsidRDefault="00231176" w:rsidP="00231176">
      <w:pPr>
        <w:shd w:val="clear" w:color="auto" w:fill="FFFFFF"/>
        <w:ind w:firstLineChars="200" w:firstLine="640"/>
        <w:jc w:val="left"/>
        <w:rPr>
          <w:rFonts w:ascii="仿宋" w:eastAsia="仿宋" w:hAnsi="仿宋" w:cs="serif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1.报名时间：统一报名时间为</w:t>
      </w:r>
      <w:r>
        <w:rPr>
          <w:rFonts w:ascii="仿宋" w:eastAsia="仿宋" w:hAnsi="仿宋" w:cs="serif" w:hint="eastAsia"/>
          <w:kern w:val="0"/>
          <w:sz w:val="32"/>
          <w:szCs w:val="32"/>
          <w:shd w:val="clear" w:color="auto" w:fill="FFFFFF"/>
        </w:rPr>
        <w:t>6月</w:t>
      </w:r>
      <w:r>
        <w:rPr>
          <w:rFonts w:ascii="仿宋" w:eastAsia="仿宋" w:hAnsi="仿宋" w:cs="serif"/>
          <w:kern w:val="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serif" w:hint="eastAsia"/>
          <w:kern w:val="0"/>
          <w:sz w:val="32"/>
          <w:szCs w:val="32"/>
          <w:shd w:val="clear" w:color="auto" w:fill="FFFFFF"/>
        </w:rPr>
        <w:t>2日上午8:00-6</w:t>
      </w:r>
      <w:r>
        <w:rPr>
          <w:rFonts w:ascii="仿宋" w:eastAsia="仿宋" w:hAnsi="仿宋" w:cs="serif"/>
          <w:kern w:val="0"/>
          <w:sz w:val="32"/>
          <w:szCs w:val="32"/>
          <w:shd w:val="clear" w:color="auto" w:fill="FFFFFF"/>
        </w:rPr>
        <w:t>月1</w:t>
      </w:r>
      <w:r>
        <w:rPr>
          <w:rFonts w:ascii="仿宋" w:eastAsia="仿宋" w:hAnsi="仿宋" w:cs="serif" w:hint="eastAsia"/>
          <w:kern w:val="0"/>
          <w:sz w:val="32"/>
          <w:szCs w:val="32"/>
          <w:shd w:val="clear" w:color="auto" w:fill="FFFFFF"/>
        </w:rPr>
        <w:t>6日中午1</w:t>
      </w:r>
      <w:r>
        <w:rPr>
          <w:rFonts w:ascii="仿宋" w:eastAsia="仿宋" w:hAnsi="仿宋" w:cs="serif"/>
          <w:kern w:val="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serif" w:hint="eastAsia"/>
          <w:kern w:val="0"/>
          <w:sz w:val="32"/>
          <w:szCs w:val="32"/>
          <w:shd w:val="clear" w:color="auto" w:fill="FFFFFF"/>
        </w:rPr>
        <w:t>:00。</w:t>
      </w:r>
    </w:p>
    <w:p w:rsidR="00231176" w:rsidRDefault="00231176" w:rsidP="00231176">
      <w:pPr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咨询电话：3223007、3223010、2043733 </w:t>
      </w:r>
    </w:p>
    <w:p w:rsidR="00231176" w:rsidRDefault="00231176" w:rsidP="00231176">
      <w:pPr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2.报名方式：考生登录蚌埠市中考特长生报名系统（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扫码或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打开网址</w:t>
      </w:r>
      <w:r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http://218.22.100.195:4321/tcs/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）在线报名。在线报名时须上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传相应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获奖证书和学校综合素质评价及体育成绩证明。</w:t>
      </w:r>
    </w:p>
    <w:p w:rsidR="00231176" w:rsidRDefault="00231176" w:rsidP="00231176">
      <w:pPr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noProof/>
          <w:kern w:val="0"/>
          <w:sz w:val="32"/>
          <w:szCs w:val="32"/>
          <w:shd w:val="clear" w:color="auto" w:fill="FFFFFF"/>
        </w:rPr>
        <w:drawing>
          <wp:inline distT="0" distB="0" distL="114300" distR="114300" wp14:anchorId="64D3055A" wp14:editId="0E814AE7">
            <wp:extent cx="2268220" cy="2268220"/>
            <wp:effectExtent l="0" t="0" r="0" b="0"/>
            <wp:docPr id="13" name="图片 13" descr="773965ef7a1e99ff9008bc3df0c2c1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773965ef7a1e99ff9008bc3df0c2c10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1512" cy="227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76" w:rsidRDefault="00231176" w:rsidP="00231176">
      <w:pPr>
        <w:shd w:val="clear" w:color="auto" w:fill="FFFFFF"/>
        <w:ind w:firstLineChars="200" w:firstLine="640"/>
        <w:jc w:val="left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3.初审结果公示时间：6月16日下午。</w:t>
      </w:r>
    </w:p>
    <w:p w:rsidR="00231176" w:rsidRDefault="00231176" w:rsidP="00231176">
      <w:pPr>
        <w:shd w:val="clear" w:color="auto" w:fill="FFFFFF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4.现场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材料复审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仿宋_GB2312" w:hint="eastAsia"/>
          <w:sz w:val="32"/>
          <w:szCs w:val="32"/>
        </w:rPr>
        <w:t>初审名单公示后，考生须</w:t>
      </w:r>
      <w:r>
        <w:rPr>
          <w:rStyle w:val="NormalCharacter"/>
          <w:rFonts w:ascii="仿宋" w:eastAsia="仿宋" w:hAnsi="仿宋"/>
          <w:sz w:val="32"/>
          <w:szCs w:val="32"/>
        </w:rPr>
        <w:t>持本人身份证或户口本（原件和复印件）、获奖证书（原件和复印件）、中考准考证（原件和复印件）或毕业学校开具的应届毕业生证明</w:t>
      </w:r>
      <w:r>
        <w:rPr>
          <w:rStyle w:val="NormalCharacter"/>
          <w:rFonts w:ascii="仿宋" w:eastAsia="仿宋" w:hAnsi="仿宋" w:hint="eastAsia"/>
          <w:sz w:val="32"/>
          <w:szCs w:val="32"/>
        </w:rPr>
        <w:t>、中</w:t>
      </w:r>
      <w:r>
        <w:rPr>
          <w:rFonts w:ascii="仿宋" w:eastAsia="仿宋" w:hAnsi="仿宋" w:cs="仿宋_GB2312" w:hint="eastAsia"/>
          <w:sz w:val="32"/>
          <w:szCs w:val="32"/>
        </w:rPr>
        <w:t>考体育成绩达</w:t>
      </w:r>
      <w:r>
        <w:rPr>
          <w:rFonts w:ascii="仿宋" w:eastAsia="仿宋" w:hAnsi="仿宋" w:cs="仿宋_GB2312"/>
          <w:sz w:val="32"/>
          <w:szCs w:val="32"/>
        </w:rPr>
        <w:t>50</w:t>
      </w:r>
      <w:r>
        <w:rPr>
          <w:rFonts w:ascii="仿宋" w:eastAsia="仿宋" w:hAnsi="仿宋" w:cs="仿宋_GB2312" w:hint="eastAsia"/>
          <w:sz w:val="32"/>
          <w:szCs w:val="32"/>
        </w:rPr>
        <w:t>分（含</w:t>
      </w:r>
      <w:r>
        <w:rPr>
          <w:rFonts w:ascii="仿宋" w:eastAsia="仿宋" w:hAnsi="仿宋" w:cs="仿宋_GB2312"/>
          <w:sz w:val="32"/>
          <w:szCs w:val="32"/>
        </w:rPr>
        <w:t>50</w:t>
      </w:r>
      <w:r>
        <w:rPr>
          <w:rFonts w:ascii="仿宋" w:eastAsia="仿宋" w:hAnsi="仿宋" w:cs="仿宋_GB2312" w:hint="eastAsia"/>
          <w:sz w:val="32"/>
          <w:szCs w:val="32"/>
        </w:rPr>
        <w:t>分）、综合素质评价B等（含B等）以上的证明，到蚌埠二中进行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材料复审</w:t>
      </w:r>
      <w:r>
        <w:rPr>
          <w:rFonts w:ascii="仿宋" w:eastAsia="仿宋" w:hAnsi="仿宋" w:cs="仿宋_GB2312" w:hint="eastAsia"/>
          <w:sz w:val="32"/>
          <w:szCs w:val="32"/>
        </w:rPr>
        <w:t>，逾期不再办理。</w:t>
      </w:r>
    </w:p>
    <w:p w:rsidR="00231176" w:rsidRDefault="00231176" w:rsidP="0023117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复审时间：</w:t>
      </w:r>
      <w:r>
        <w:rPr>
          <w:rFonts w:ascii="仿宋" w:eastAsia="仿宋" w:hAnsi="仿宋" w:hint="eastAsia"/>
          <w:sz w:val="32"/>
          <w:szCs w:val="32"/>
        </w:rPr>
        <w:t>6月17日8：00-17：30</w:t>
      </w:r>
    </w:p>
    <w:p w:rsidR="00231176" w:rsidRDefault="00231176" w:rsidP="0023117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lastRenderedPageBreak/>
        <w:t>复审地点：蚌埠第二中学忠诚楼203室</w:t>
      </w:r>
    </w:p>
    <w:p w:rsidR="00231176" w:rsidRDefault="00231176" w:rsidP="0023117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联系电话：3223010</w:t>
      </w:r>
    </w:p>
    <w:p w:rsidR="00231176" w:rsidRDefault="00231176" w:rsidP="0023117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5.学校将于6月17日晚公示复审合格名单，如对公示结果有异议，可在6月18日下午14:30--17:30 到蚌埠第二中学忠诚楼203室进行线下复核。</w:t>
      </w:r>
    </w:p>
    <w:p w:rsidR="00231176" w:rsidRDefault="00231176" w:rsidP="00231176">
      <w:pPr>
        <w:spacing w:line="540" w:lineRule="exac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6.准考证打印：2025年</w:t>
      </w:r>
      <w:r>
        <w:rPr>
          <w:rFonts w:ascii="仿宋" w:eastAsia="仿宋" w:hAnsi="仿宋" w:cs="宋体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月19日中午-</w:t>
      </w:r>
      <w:r>
        <w:rPr>
          <w:rFonts w:ascii="仿宋" w:eastAsia="仿宋" w:hAnsi="仿宋" w:cs="宋体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0日考生可登录报名系统自行打印准考证。</w:t>
      </w:r>
    </w:p>
    <w:p w:rsidR="00231176" w:rsidRDefault="00231176" w:rsidP="00231176">
      <w:pPr>
        <w:spacing w:line="540" w:lineRule="exact"/>
        <w:ind w:firstLine="6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五、专业测试</w:t>
      </w:r>
    </w:p>
    <w:p w:rsidR="00231176" w:rsidRDefault="00231176" w:rsidP="00231176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凡通过资格审查的考生均需参加统一组织的乒乓球专业测试。</w:t>
      </w:r>
    </w:p>
    <w:p w:rsidR="00231176" w:rsidRDefault="00231176" w:rsidP="00231176">
      <w:pPr>
        <w:pStyle w:val="HtmlNormal"/>
        <w:spacing w:before="0" w:beforeAutospacing="0" w:after="0" w:afterAutospacing="0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1</w:t>
      </w:r>
      <w:r>
        <w:rPr>
          <w:rStyle w:val="NormalCharacter"/>
          <w:rFonts w:ascii="仿宋" w:eastAsia="仿宋" w:hAnsi="仿宋" w:hint="eastAsia"/>
          <w:sz w:val="32"/>
          <w:szCs w:val="32"/>
        </w:rPr>
        <w:t>.</w:t>
      </w:r>
      <w:r>
        <w:rPr>
          <w:rStyle w:val="NormalCharacter"/>
          <w:rFonts w:ascii="仿宋" w:eastAsia="仿宋" w:hAnsi="仿宋"/>
          <w:sz w:val="32"/>
          <w:szCs w:val="32"/>
        </w:rPr>
        <w:t>测试时间：202</w:t>
      </w:r>
      <w:r>
        <w:rPr>
          <w:rStyle w:val="NormalCharacter"/>
          <w:rFonts w:ascii="仿宋" w:eastAsia="仿宋" w:hAnsi="仿宋" w:hint="eastAsia"/>
          <w:sz w:val="32"/>
          <w:szCs w:val="32"/>
        </w:rPr>
        <w:t>5</w:t>
      </w:r>
      <w:r>
        <w:rPr>
          <w:rStyle w:val="NormalCharacter"/>
          <w:rFonts w:ascii="仿宋" w:eastAsia="仿宋" w:hAnsi="仿宋"/>
          <w:sz w:val="32"/>
          <w:szCs w:val="32"/>
        </w:rPr>
        <w:t>年6月2</w:t>
      </w:r>
      <w:r>
        <w:rPr>
          <w:rStyle w:val="NormalCharacter"/>
          <w:rFonts w:ascii="仿宋" w:eastAsia="仿宋" w:hAnsi="仿宋" w:hint="eastAsia"/>
          <w:sz w:val="32"/>
          <w:szCs w:val="32"/>
        </w:rPr>
        <w:t>2</w:t>
      </w:r>
      <w:r>
        <w:rPr>
          <w:rStyle w:val="NormalCharacter"/>
          <w:rFonts w:ascii="仿宋" w:eastAsia="仿宋" w:hAnsi="仿宋"/>
          <w:sz w:val="32"/>
          <w:szCs w:val="32"/>
        </w:rPr>
        <w:t>日</w:t>
      </w:r>
      <w:r>
        <w:rPr>
          <w:rStyle w:val="NormalCharacter"/>
          <w:rFonts w:ascii="仿宋" w:eastAsia="仿宋" w:hAnsi="仿宋" w:hint="eastAsia"/>
          <w:sz w:val="32"/>
          <w:szCs w:val="32"/>
        </w:rPr>
        <w:t>。</w:t>
      </w:r>
    </w:p>
    <w:p w:rsidR="00231176" w:rsidRDefault="00231176" w:rsidP="00231176">
      <w:pPr>
        <w:pStyle w:val="HtmlNormal"/>
        <w:spacing w:before="0" w:beforeAutospacing="0" w:after="0" w:afterAutospacing="0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2</w:t>
      </w:r>
      <w:r>
        <w:rPr>
          <w:rStyle w:val="NormalCharacter"/>
          <w:rFonts w:ascii="仿宋" w:eastAsia="仿宋" w:hAnsi="仿宋" w:hint="eastAsia"/>
          <w:sz w:val="32"/>
          <w:szCs w:val="32"/>
        </w:rPr>
        <w:t>.测试地点：</w:t>
      </w:r>
      <w:r>
        <w:rPr>
          <w:rStyle w:val="NormalCharacter"/>
          <w:rFonts w:ascii="仿宋" w:eastAsia="仿宋" w:hAnsi="仿宋"/>
          <w:sz w:val="32"/>
          <w:szCs w:val="32"/>
        </w:rPr>
        <w:t>蚌埠二中承薪馆</w:t>
      </w:r>
      <w:r>
        <w:rPr>
          <w:rStyle w:val="NormalCharacter"/>
          <w:rFonts w:ascii="仿宋" w:eastAsia="仿宋" w:hAnsi="仿宋" w:hint="eastAsia"/>
          <w:sz w:val="32"/>
          <w:szCs w:val="32"/>
        </w:rPr>
        <w:t>。</w:t>
      </w:r>
    </w:p>
    <w:p w:rsidR="00231176" w:rsidRDefault="00231176" w:rsidP="00231176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3.测试项目：根据有效报名人数，8人及8人以下采取单循环赛，8人以上采取先分组循环，后交叉淘汰的方式。比赛采取五局三胜 11分制（胜积2分、负积1分、弃权0分），取男生前两名、女生第一名入围（积分相等时依照净胜局，净胜局相等时依照净胜球）。</w:t>
      </w:r>
    </w:p>
    <w:p w:rsidR="00231176" w:rsidRDefault="00231176" w:rsidP="00231176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.相关要求：比赛采用红双喜三星D40+白色乒乓球，考生自备球拍（需符合国际乒联规定）,运动鞋，运动服（上衣不能为白色）。所有服装、运动鞋、球拍等比赛用品均不得出现学校、培训机构、姓名等标志性字样，否则取消测试资格。</w:t>
      </w:r>
    </w:p>
    <w:p w:rsidR="00231176" w:rsidRDefault="00231176" w:rsidP="00231176">
      <w:pPr>
        <w:widowControl/>
        <w:spacing w:line="540" w:lineRule="exact"/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成绩公示</w:t>
      </w:r>
    </w:p>
    <w:p w:rsidR="00231176" w:rsidRDefault="00231176" w:rsidP="00231176">
      <w:pPr>
        <w:widowControl/>
        <w:ind w:firstLineChars="200" w:firstLine="640"/>
        <w:jc w:val="left"/>
        <w:textAlignment w:val="baseline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专业测试次日至蚌埠第二中学官方</w:t>
      </w:r>
      <w:r>
        <w:rPr>
          <w:rFonts w:ascii="仿宋" w:eastAsia="仿宋" w:hAnsi="仿宋" w:cs="Times New Roman"/>
          <w:kern w:val="0"/>
          <w:sz w:val="32"/>
          <w:szCs w:val="32"/>
        </w:rPr>
        <w:t>网站查询。</w:t>
      </w:r>
    </w:p>
    <w:p w:rsidR="00231176" w:rsidRDefault="00231176" w:rsidP="00231176">
      <w:pPr>
        <w:widowControl/>
        <w:spacing w:line="540" w:lineRule="exact"/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>
        <w:rPr>
          <w:rFonts w:ascii="黑体" w:eastAsia="黑体" w:hAnsi="黑体" w:cs="黑体"/>
          <w:sz w:val="32"/>
          <w:szCs w:val="32"/>
        </w:rPr>
        <w:t>、录取</w:t>
      </w:r>
      <w:r>
        <w:rPr>
          <w:rFonts w:ascii="黑体" w:eastAsia="黑体" w:hAnsi="黑体" w:cs="黑体" w:hint="eastAsia"/>
          <w:sz w:val="32"/>
          <w:szCs w:val="32"/>
        </w:rPr>
        <w:t>办法</w:t>
      </w:r>
    </w:p>
    <w:p w:rsidR="00231176" w:rsidRDefault="00231176" w:rsidP="00231176">
      <w:pPr>
        <w:widowControl/>
        <w:spacing w:line="540" w:lineRule="exact"/>
        <w:ind w:firstLineChars="200" w:firstLine="640"/>
        <w:textAlignment w:val="baseline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lastRenderedPageBreak/>
        <w:t>我校乒乓球特长生由市教育招生考试院提前批次统一录取，录取办法如下：</w:t>
      </w:r>
    </w:p>
    <w:p w:rsidR="00231176" w:rsidRDefault="00231176" w:rsidP="00231176">
      <w:pPr>
        <w:widowControl/>
        <w:ind w:firstLineChars="200" w:firstLine="640"/>
        <w:jc w:val="left"/>
        <w:textAlignment w:val="baseline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1.初中毕业学业统一考试成绩必须达到市区普通高中最低录取分数线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（含三县考生）</w:t>
      </w:r>
      <w:r>
        <w:rPr>
          <w:rFonts w:ascii="仿宋" w:eastAsia="仿宋" w:hAnsi="仿宋" w:cs="Times New Roman"/>
          <w:kern w:val="0"/>
          <w:sz w:val="32"/>
          <w:szCs w:val="32"/>
        </w:rPr>
        <w:t>。</w:t>
      </w:r>
    </w:p>
    <w:p w:rsidR="00231176" w:rsidRDefault="00231176" w:rsidP="00231176">
      <w:pPr>
        <w:widowControl/>
        <w:ind w:firstLineChars="200" w:firstLine="640"/>
        <w:jc w:val="left"/>
        <w:textAlignment w:val="baseline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2.按专业测试成绩从高分到低分择优录取。</w:t>
      </w:r>
    </w:p>
    <w:p w:rsidR="00231176" w:rsidRDefault="00231176" w:rsidP="00231176">
      <w:pPr>
        <w:spacing w:line="288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八</w:t>
      </w:r>
      <w:r>
        <w:rPr>
          <w:rFonts w:ascii="仿宋" w:eastAsia="仿宋" w:hAnsi="仿宋"/>
          <w:b/>
          <w:bCs/>
          <w:sz w:val="32"/>
          <w:szCs w:val="32"/>
        </w:rPr>
        <w:t>、</w:t>
      </w:r>
      <w:r>
        <w:rPr>
          <w:rFonts w:ascii="仿宋" w:eastAsia="仿宋" w:hAnsi="仿宋" w:hint="eastAsia"/>
          <w:b/>
          <w:bCs/>
          <w:sz w:val="32"/>
          <w:szCs w:val="32"/>
        </w:rPr>
        <w:t>其他事项</w:t>
      </w:r>
    </w:p>
    <w:p w:rsidR="00231176" w:rsidRDefault="00231176" w:rsidP="00231176">
      <w:pPr>
        <w:spacing w:line="288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1.凡未按规定时间报名和参加专业考核的视为自动放弃。</w:t>
      </w:r>
    </w:p>
    <w:p w:rsidR="00231176" w:rsidRDefault="00231176" w:rsidP="00231176">
      <w:pPr>
        <w:spacing w:line="288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2.凡在自主招生中弄虚作假或徇私舞弊者，一经发现，取消</w:t>
      </w:r>
      <w:r>
        <w:rPr>
          <w:rFonts w:ascii="仿宋" w:eastAsia="仿宋" w:hAnsi="仿宋" w:hint="eastAsia"/>
          <w:sz w:val="32"/>
          <w:szCs w:val="32"/>
        </w:rPr>
        <w:t>特长生录取</w:t>
      </w:r>
      <w:r>
        <w:rPr>
          <w:rFonts w:ascii="仿宋" w:eastAsia="仿宋" w:hAnsi="仿宋"/>
          <w:sz w:val="32"/>
          <w:szCs w:val="32"/>
        </w:rPr>
        <w:t>资格，并予以通报批评。</w:t>
      </w:r>
    </w:p>
    <w:p w:rsidR="00231176" w:rsidRDefault="00231176" w:rsidP="00231176">
      <w:pPr>
        <w:spacing w:line="288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3.考试期间，入场需经过安检，考生不得携带与考试无关物品（可携带补充能量的食品及饮用水等），禁止携带手机、电话手表等具有录音、录像或通讯功能的电子设备入场。</w:t>
      </w:r>
    </w:p>
    <w:p w:rsidR="00231176" w:rsidRDefault="00231176" w:rsidP="00231176">
      <w:pPr>
        <w:spacing w:line="288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4.乒乓球特长生被录取后，须签订《蚌埠二中特长生管理协议》，参加蚌埠二中相关特长生培训、比赛等活动。</w:t>
      </w:r>
    </w:p>
    <w:p w:rsidR="00231176" w:rsidRDefault="00231176" w:rsidP="00231176">
      <w:pPr>
        <w:widowControl/>
        <w:ind w:firstLineChars="200" w:firstLine="640"/>
        <w:jc w:val="left"/>
        <w:textAlignment w:val="baseline"/>
        <w:rPr>
          <w:rFonts w:ascii="仿宋" w:eastAsia="仿宋" w:hAnsi="仿宋" w:cs="Times New Roman"/>
          <w:kern w:val="0"/>
          <w:sz w:val="32"/>
          <w:szCs w:val="32"/>
        </w:rPr>
      </w:pPr>
    </w:p>
    <w:p w:rsidR="00231176" w:rsidRDefault="00231176" w:rsidP="00231176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231176" w:rsidRDefault="00231176" w:rsidP="00231176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3852E8" w:rsidRPr="00231176" w:rsidRDefault="003852E8"/>
    <w:sectPr w:rsidR="003852E8" w:rsidRPr="00231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rif">
    <w:altName w:val="Segoe Print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charset w:val="86"/>
    <w:family w:val="auto"/>
    <w:pitch w:val="default"/>
    <w:sig w:usb0="00000001" w:usb1="080E0000" w:usb2="00000000" w:usb3="00000000" w:csb0="00040000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76"/>
    <w:rsid w:val="00231176"/>
    <w:rsid w:val="0038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4639B-D6CB-4877-BE25-6B13D242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1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231176"/>
  </w:style>
  <w:style w:type="paragraph" w:customStyle="1" w:styleId="HtmlNormal">
    <w:name w:val="HtmlNormal"/>
    <w:basedOn w:val="a"/>
    <w:qFormat/>
    <w:rsid w:val="00231176"/>
    <w:pPr>
      <w:widowControl/>
      <w:spacing w:before="100" w:beforeAutospacing="1" w:after="100" w:afterAutospacing="1"/>
      <w:jc w:val="left"/>
      <w:textAlignment w:val="baseline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2025-06-10T23:22:00Z</dcterms:created>
  <dcterms:modified xsi:type="dcterms:W3CDTF">2025-06-10T23:23:00Z</dcterms:modified>
</cp:coreProperties>
</file>